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FC25D6" w:rsidRDefault="00474402" w:rsidP="00FC25D6">
      <w:pPr>
        <w:spacing w:after="120" w:line="240" w:lineRule="auto"/>
        <w:jc w:val="center"/>
        <w:rPr>
          <w:rFonts w:ascii="Book Antiqua" w:eastAsia="MS ??" w:hAnsi="Book Antiqua" w:cs="Calibri"/>
          <w:b/>
          <w:smallCaps/>
          <w:color w:val="5F497A"/>
          <w:spacing w:val="-2"/>
          <w:sz w:val="72"/>
          <w:szCs w:val="56"/>
        </w:rPr>
      </w:pPr>
      <w:r w:rsidRPr="00067AB6">
        <w:rPr>
          <w:rFonts w:ascii="Book Antiqua" w:eastAsia="MS ??" w:hAnsi="Book Antiqua" w:cs="Calibri"/>
          <w:b/>
          <w:smallCaps/>
          <w:color w:val="5F497A"/>
          <w:spacing w:val="-2"/>
          <w:sz w:val="72"/>
          <w:szCs w:val="56"/>
        </w:rPr>
        <w:t xml:space="preserve">Geriatric </w:t>
      </w:r>
      <w:r w:rsidR="00FC25D6">
        <w:rPr>
          <w:rFonts w:ascii="Book Antiqua" w:eastAsia="MS ??" w:hAnsi="Book Antiqua" w:cs="Calibri"/>
          <w:b/>
          <w:smallCaps/>
          <w:color w:val="5F497A"/>
          <w:spacing w:val="-2"/>
          <w:sz w:val="72"/>
          <w:szCs w:val="56"/>
        </w:rPr>
        <w:t xml:space="preserve">Services </w:t>
      </w:r>
      <w:r w:rsidRPr="00067AB6">
        <w:rPr>
          <w:rFonts w:ascii="Book Antiqua" w:eastAsia="MS ??" w:hAnsi="Book Antiqua" w:cs="Calibri"/>
          <w:b/>
          <w:smallCaps/>
          <w:color w:val="5F497A"/>
          <w:spacing w:val="-2"/>
          <w:sz w:val="72"/>
          <w:szCs w:val="56"/>
        </w:rPr>
        <w:t>Capacity</w:t>
      </w:r>
      <w:r w:rsidR="00FC25D6">
        <w:rPr>
          <w:rFonts w:ascii="Book Antiqua" w:eastAsia="MS ??" w:hAnsi="Book Antiqua" w:cs="Calibri"/>
          <w:b/>
          <w:smallCaps/>
          <w:color w:val="5F497A"/>
          <w:spacing w:val="-2"/>
          <w:sz w:val="72"/>
          <w:szCs w:val="56"/>
        </w:rPr>
        <w:t xml:space="preserve"> </w:t>
      </w:r>
      <w:r w:rsidRPr="00FC25D6">
        <w:rPr>
          <w:rFonts w:ascii="Book Antiqua" w:eastAsia="MS ??" w:hAnsi="Book Antiqua" w:cs="Calibri"/>
          <w:b/>
          <w:smallCaps/>
          <w:color w:val="5F497A"/>
          <w:spacing w:val="-2"/>
          <w:sz w:val="72"/>
          <w:szCs w:val="56"/>
        </w:rPr>
        <w:t>Assessment</w:t>
      </w:r>
      <w:bookmarkStart w:id="0" w:name="_GoBack"/>
      <w:bookmarkEnd w:id="0"/>
      <w:r w:rsidRPr="009451D9">
        <w:rPr>
          <w:rFonts w:ascii="Book Antiqua" w:eastAsia="MS ??" w:hAnsi="Book Antiqua" w:cs="Calibri"/>
          <w:b/>
          <w:smallCaps/>
          <w:color w:val="5F497A"/>
          <w:spacing w:val="-2"/>
          <w:sz w:val="68"/>
          <w:szCs w:val="68"/>
        </w:rPr>
        <w:t xml:space="preserve"> </w:t>
      </w:r>
    </w:p>
    <w:p w:rsidR="00FC25D6" w:rsidRDefault="00FC25D6" w:rsidP="00E72147">
      <w:pPr>
        <w:spacing w:after="120" w:line="240" w:lineRule="auto"/>
        <w:jc w:val="center"/>
        <w:rPr>
          <w:rFonts w:ascii="Book Antiqua" w:eastAsia="MS ??" w:hAnsi="Book Antiqua" w:cs="Calibri"/>
          <w:b/>
          <w:i/>
          <w:smallCaps/>
          <w:color w:val="5F497A"/>
          <w:spacing w:val="-2"/>
          <w:sz w:val="64"/>
          <w:szCs w:val="64"/>
        </w:rPr>
      </w:pPr>
    </w:p>
    <w:p w:rsidR="00C66E9A" w:rsidRPr="009451D9" w:rsidRDefault="00C66E9A" w:rsidP="00E72147">
      <w:pPr>
        <w:spacing w:after="120" w:line="240" w:lineRule="auto"/>
        <w:jc w:val="center"/>
        <w:rPr>
          <w:rFonts w:ascii="Book Antiqua" w:eastAsia="MS ??" w:hAnsi="Book Antiqua" w:cs="Calibri"/>
          <w:b/>
          <w:i/>
          <w:smallCaps/>
          <w:color w:val="5F497A"/>
          <w:spacing w:val="-2"/>
          <w:sz w:val="64"/>
          <w:szCs w:val="64"/>
        </w:rPr>
      </w:pPr>
      <w:r w:rsidRPr="009451D9">
        <w:rPr>
          <w:rFonts w:ascii="Book Antiqua" w:eastAsia="MS ??" w:hAnsi="Book Antiqua" w:cs="Calibri"/>
          <w:b/>
          <w:i/>
          <w:smallCaps/>
          <w:color w:val="5F497A"/>
          <w:spacing w:val="-2"/>
          <w:sz w:val="64"/>
          <w:szCs w:val="64"/>
        </w:rPr>
        <w:t>Assessing your Results</w:t>
      </w:r>
    </w:p>
    <w:p w:rsidR="00E72147" w:rsidRDefault="00E72147" w:rsidP="008419F1">
      <w:pPr>
        <w:spacing w:after="120" w:line="240" w:lineRule="auto"/>
        <w:rPr>
          <w:rFonts w:ascii="Book Antiqua" w:eastAsia="MS ??" w:hAnsi="Book Antiqua" w:cs="Calibri"/>
          <w:color w:val="5F497A"/>
          <w:spacing w:val="-2"/>
        </w:rPr>
        <w:sectPr w:rsidR="00E72147" w:rsidSect="00AC6120">
          <w:footerReference w:type="default" r:id="rId9"/>
          <w:pgSz w:w="12240" w:h="15840"/>
          <w:pgMar w:top="1440" w:right="1440" w:bottom="1440" w:left="1440" w:header="720" w:footer="720"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cols w:space="720"/>
          <w:docGrid w:linePitch="360"/>
        </w:sectPr>
      </w:pPr>
    </w:p>
    <w:p w:rsidR="008419F1" w:rsidRDefault="00D030DE" w:rsidP="00D030DE">
      <w:pPr>
        <w:pStyle w:val="Heading1"/>
        <w:rPr>
          <w:rFonts w:eastAsia="MS ??"/>
        </w:rPr>
      </w:pPr>
      <w:r>
        <w:rPr>
          <w:rFonts w:eastAsia="MS ??"/>
        </w:rPr>
        <w:lastRenderedPageBreak/>
        <w:t>Domain 1:</w:t>
      </w:r>
      <w:r>
        <w:rPr>
          <w:rFonts w:eastAsia="MS ??"/>
        </w:rPr>
        <w:tab/>
      </w:r>
      <w:r w:rsidR="008419F1" w:rsidRPr="00C66E9A">
        <w:rPr>
          <w:rFonts w:eastAsia="MS ??"/>
        </w:rPr>
        <w:t xml:space="preserve">Relational-based Care Management </w:t>
      </w:r>
    </w:p>
    <w:p w:rsidR="00D030DE" w:rsidRDefault="00D030DE" w:rsidP="00D030DE">
      <w:pPr>
        <w:pStyle w:val="Heading2"/>
        <w:spacing w:before="0"/>
        <w:rPr>
          <w:rFonts w:eastAsia="MS ??"/>
        </w:rPr>
      </w:pPr>
      <w:r w:rsidRPr="00D030DE">
        <w:rPr>
          <w:rFonts w:eastAsia="MS ??"/>
        </w:rPr>
        <w:t>1.1</w:t>
      </w:r>
      <w:r w:rsidRPr="00D030DE">
        <w:rPr>
          <w:rFonts w:eastAsia="MS ??"/>
        </w:rPr>
        <w:tab/>
        <w:t>Consumer-Centered Practice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1 Consumer-Centered Practice&#10;"/>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
                <w:spacing w:val="-2"/>
                <w:sz w:val="20"/>
                <w:szCs w:val="20"/>
              </w:rPr>
            </w:pPr>
            <w:r w:rsidRPr="006679EA">
              <w:rPr>
                <w:rFonts w:ascii="Book Antiqua" w:eastAsia="MS ????" w:hAnsi="Book Antiqua" w:cs="Cambria"/>
                <w:spacing w:val="-2"/>
                <w:sz w:val="20"/>
                <w:szCs w:val="20"/>
              </w:rPr>
              <w:t>1.1.1</w:t>
            </w:r>
            <w:r>
              <w:rPr>
                <w:rFonts w:ascii="Book Antiqua" w:eastAsia="MS ????" w:hAnsi="Book Antiqua" w:cs="Cambria"/>
                <w:spacing w:val="-2"/>
                <w:sz w:val="20"/>
                <w:szCs w:val="20"/>
              </w:rPr>
              <w:tab/>
            </w:r>
            <w:r w:rsidRPr="006679EA">
              <w:rPr>
                <w:rFonts w:ascii="Book Antiqua" w:eastAsia="MS ????" w:hAnsi="Book Antiqua" w:cs="Cambria"/>
                <w:spacing w:val="-2"/>
                <w:sz w:val="20"/>
                <w:szCs w:val="20"/>
              </w:rPr>
              <w:t>Do consumers play an active role in their own assessment and care planning?</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1.1.2</w:t>
            </w:r>
            <w:r w:rsidRPr="006679EA">
              <w:rPr>
                <w:rFonts w:ascii="Book Antiqua" w:eastAsia="MS ????" w:hAnsi="Book Antiqua" w:cs="Cambria"/>
                <w:spacing w:val="-2"/>
                <w:sz w:val="20"/>
                <w:szCs w:val="20"/>
              </w:rPr>
              <w:tab/>
              <w:t xml:space="preserve">Does staff develop an individualized, professional relationship with the consumer, showing respect for the consumer’s preferences and for the dignity of risk? </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1.1.3</w:t>
            </w:r>
            <w:r w:rsidRPr="006679EA">
              <w:rPr>
                <w:rFonts w:ascii="Book Antiqua" w:eastAsia="MS ????" w:hAnsi="Book Antiqua" w:cs="Cambria"/>
                <w:spacing w:val="-2"/>
                <w:sz w:val="20"/>
                <w:szCs w:val="20"/>
              </w:rPr>
              <w:tab/>
              <w:t>Are older consumers (and families or caregivers) involved in care planning and implementation to ensure a consumer-centered focus?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1.1.4</w:t>
            </w:r>
            <w:r w:rsidRPr="006679EA">
              <w:rPr>
                <w:rFonts w:ascii="Book Antiqua" w:eastAsia="MS ????" w:hAnsi="Book Antiqua" w:cs="Cambria"/>
                <w:spacing w:val="-2"/>
                <w:sz w:val="20"/>
                <w:szCs w:val="20"/>
              </w:rPr>
              <w:tab/>
              <w:t>Does staff consistently respect and accept the decisions and preferences of consumers?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1.1.5</w:t>
            </w:r>
            <w:r w:rsidRPr="006679EA">
              <w:rPr>
                <w:rFonts w:ascii="Book Antiqua" w:eastAsia="MS ????" w:hAnsi="Book Antiqua" w:cs="Cambria"/>
                <w:spacing w:val="-2"/>
                <w:sz w:val="20"/>
                <w:szCs w:val="20"/>
              </w:rPr>
              <w:tab/>
              <w:t>Does the IDT periodically assess how well each consumer understands his or her rights and consumer protections?</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1.2</w:t>
      </w:r>
      <w:r w:rsidRPr="00D030DE">
        <w:rPr>
          <w:rFonts w:eastAsia="MS ??"/>
        </w:rPr>
        <w:tab/>
        <w:t xml:space="preserve">Eliminating Medical </w:t>
      </w:r>
      <w:r>
        <w:rPr>
          <w:rFonts w:eastAsia="MS ??"/>
        </w:rPr>
        <w:t>a</w:t>
      </w:r>
      <w:r w:rsidRPr="00D030DE">
        <w:rPr>
          <w:rFonts w:eastAsia="MS ??"/>
        </w:rPr>
        <w:t>nd Institutional Bias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2 Eliminating Medical and Institutional Bia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Height w:val="77"/>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1.2.1</w:t>
            </w:r>
            <w:r w:rsidRPr="006679EA">
              <w:rPr>
                <w:rFonts w:ascii="Book Antiqua" w:eastAsia="MS ????" w:hAnsi="Book Antiqua" w:cs="Cambria"/>
                <w:spacing w:val="-2"/>
                <w:sz w:val="20"/>
                <w:szCs w:val="20"/>
              </w:rPr>
              <w:tab/>
              <w:t>Does the IDT help consumers explore all possible options for living in the least restrictive environment of their choice?</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1.2.2</w:t>
            </w:r>
            <w:r w:rsidRPr="006679EA">
              <w:rPr>
                <w:rFonts w:ascii="Book Antiqua" w:eastAsia="MS ????" w:hAnsi="Book Antiqua" w:cs="Cambria"/>
                <w:spacing w:val="-2"/>
                <w:sz w:val="20"/>
                <w:szCs w:val="20"/>
              </w:rPr>
              <w:tab/>
              <w:t>Are consumers given a choice of community supports and service providers?</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1.2.3</w:t>
            </w:r>
            <w:r w:rsidRPr="006679EA">
              <w:rPr>
                <w:rFonts w:ascii="Book Antiqua" w:eastAsia="MS ????" w:hAnsi="Book Antiqua" w:cs="Cambria"/>
                <w:spacing w:val="-2"/>
                <w:sz w:val="20"/>
                <w:szCs w:val="20"/>
              </w:rPr>
              <w:tab/>
              <w:t>Is the consumer’s current living situation re-evaluated prior to planning a permanent transition to a greater level of care?</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tcBorders>
              <w:bottom w:val="single" w:sz="4" w:space="0" w:color="auto"/>
            </w:tcBorders>
            <w:vAlign w:val="center"/>
          </w:tcPr>
          <w:p w:rsidR="00D030DE" w:rsidRPr="006679EA" w:rsidRDefault="00D030DE" w:rsidP="00D030DE">
            <w:pPr>
              <w:widowControl w:val="0"/>
              <w:ind w:left="720" w:hanging="720"/>
              <w:outlineLvl w:val="1"/>
              <w:rPr>
                <w:rFonts w:ascii="Book Antiqua" w:eastAsia="MS ????" w:hAnsi="Book Antiqua" w:cs="Cambria"/>
                <w:b/>
                <w:bCs/>
                <w:spacing w:val="-2"/>
                <w:sz w:val="20"/>
                <w:szCs w:val="20"/>
              </w:rPr>
            </w:pPr>
            <w:r w:rsidRPr="006679EA">
              <w:rPr>
                <w:rFonts w:ascii="Book Antiqua" w:eastAsia="MS ????" w:hAnsi="Book Antiqua" w:cs="Cambria"/>
                <w:spacing w:val="-2"/>
                <w:sz w:val="20"/>
                <w:szCs w:val="20"/>
              </w:rPr>
              <w:t>1.2.4</w:t>
            </w:r>
            <w:r w:rsidRPr="006679EA">
              <w:rPr>
                <w:rFonts w:ascii="Book Antiqua" w:eastAsia="MS ????" w:hAnsi="Book Antiqua" w:cs="Cambria"/>
                <w:spacing w:val="-2"/>
                <w:sz w:val="20"/>
                <w:szCs w:val="20"/>
              </w:rPr>
              <w:tab/>
              <w:t>Are potential ethical conflicts formally reviewed via committee or consultation to ensure consumer autonomy and self-determination?</w:t>
            </w:r>
          </w:p>
        </w:tc>
        <w:tc>
          <w:tcPr>
            <w:tcW w:w="2304"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tcBorders>
              <w:bottom w:val="single" w:sz="4" w:space="0" w:color="auto"/>
            </w:tcBorders>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Pr="00D030DE" w:rsidRDefault="00D030DE" w:rsidP="00D030DE"/>
    <w:p w:rsidR="00D030DE" w:rsidRDefault="00D030DE" w:rsidP="00D030DE">
      <w:pPr>
        <w:pStyle w:val="Heading2"/>
        <w:rPr>
          <w:rFonts w:eastAsia="MS ??"/>
        </w:rPr>
      </w:pPr>
      <w:r w:rsidRPr="00D030DE">
        <w:rPr>
          <w:rFonts w:eastAsia="MS ??"/>
        </w:rPr>
        <w:lastRenderedPageBreak/>
        <w:t xml:space="preserve">1.3 </w:t>
      </w:r>
      <w:r w:rsidRPr="00D030DE">
        <w:rPr>
          <w:rFonts w:eastAsia="MS ??"/>
        </w:rPr>
        <w:tab/>
        <w:t>Interdisciplinary Team</w:t>
      </w:r>
    </w:p>
    <w:p w:rsidR="00D030DE" w:rsidRDefault="00D030DE" w:rsidP="00D030DE">
      <w:pPr>
        <w:pStyle w:val="Heading3"/>
        <w:spacing w:before="0"/>
        <w:rPr>
          <w:rFonts w:eastAsia="MS ??"/>
        </w:rPr>
      </w:pPr>
      <w:r w:rsidRPr="00D030DE">
        <w:rPr>
          <w:rFonts w:eastAsia="MS ??"/>
        </w:rPr>
        <w:t>1.3.1</w:t>
      </w:r>
      <w:r w:rsidRPr="00D030DE">
        <w:rPr>
          <w:rFonts w:eastAsia="MS ??"/>
        </w:rPr>
        <w:tab/>
        <w:t>Composition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3 Interdisciplinary Team, 1.3.1 Composition"/>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1.3.1.1</w:t>
            </w:r>
            <w:r w:rsidRPr="006679EA">
              <w:rPr>
                <w:rFonts w:ascii="Book Antiqua" w:eastAsia="MS ????" w:hAnsi="Book Antiqua" w:cs="Arial"/>
                <w:spacing w:val="-2"/>
                <w:sz w:val="20"/>
                <w:szCs w:val="20"/>
              </w:rPr>
              <w:tab/>
              <w:t>Are the competencies of primary care, nursing, behavioral health, and LTSS represented on each IDT?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1.3.1.2</w:t>
            </w:r>
            <w:r w:rsidRPr="006679EA">
              <w:rPr>
                <w:rFonts w:ascii="Book Antiqua" w:eastAsia="MS ????" w:hAnsi="Book Antiqua" w:cs="Arial"/>
                <w:spacing w:val="-2"/>
                <w:sz w:val="20"/>
                <w:szCs w:val="20"/>
              </w:rPr>
              <w:tab/>
              <w:t>Are practitioners on the IDT experienced in providing disability-competent care since so many aging persons are also disabled to some degree?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1.3.1.3</w:t>
            </w:r>
            <w:r w:rsidRPr="006679EA">
              <w:rPr>
                <w:rFonts w:ascii="Book Antiqua" w:eastAsia="MS ????" w:hAnsi="Book Antiqua" w:cs="Arial"/>
                <w:spacing w:val="-2"/>
                <w:sz w:val="20"/>
                <w:szCs w:val="20"/>
              </w:rPr>
              <w:tab/>
              <w:t>Is the consumer’s primary language, means of communicating, and ethnic/cultural competencies considered in identifying specific members of the IDT?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1.3.1.4</w:t>
            </w:r>
            <w:r w:rsidRPr="006679EA">
              <w:rPr>
                <w:rFonts w:ascii="Book Antiqua" w:eastAsia="MS ????" w:hAnsi="Book Antiqua" w:cs="Arial"/>
                <w:spacing w:val="-2"/>
                <w:sz w:val="20"/>
                <w:szCs w:val="20"/>
              </w:rPr>
              <w:tab/>
              <w:t>Do all IDT members understand their individual roles and responsibilities?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1.3.1.5</w:t>
            </w:r>
            <w:r w:rsidRPr="006679EA">
              <w:rPr>
                <w:rFonts w:ascii="Book Antiqua" w:eastAsia="MS ????" w:hAnsi="Book Antiqua" w:cs="Arial"/>
                <w:spacing w:val="-2"/>
                <w:sz w:val="20"/>
                <w:szCs w:val="20"/>
              </w:rPr>
              <w:tab/>
              <w:t>Is one member of each consumer’s IDT designated as the “lead”?</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1.3.1.6</w:t>
            </w:r>
            <w:r w:rsidRPr="006679EA">
              <w:rPr>
                <w:rFonts w:ascii="Book Antiqua" w:eastAsia="MS ????" w:hAnsi="Book Antiqua" w:cs="Arial"/>
                <w:spacing w:val="-2"/>
                <w:sz w:val="20"/>
                <w:szCs w:val="20"/>
              </w:rPr>
              <w:tab/>
              <w:t>Are additional resources or consultants available to the IDT based on the specific needs of each consumer?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1.3.1.7</w:t>
            </w:r>
            <w:r w:rsidRPr="006679EA">
              <w:rPr>
                <w:rFonts w:ascii="Book Antiqua" w:eastAsia="MS ????" w:hAnsi="Book Antiqua" w:cs="Arial"/>
                <w:spacing w:val="-2"/>
                <w:sz w:val="20"/>
                <w:szCs w:val="20"/>
              </w:rPr>
              <w:tab/>
              <w:t>Is the consumer able to designate a family member or close friend to be involved in IDT-related communications?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3"/>
        <w:rPr>
          <w:rFonts w:eastAsia="MS ??"/>
        </w:rPr>
      </w:pPr>
      <w:r w:rsidRPr="00D030DE">
        <w:rPr>
          <w:rFonts w:eastAsia="MS ??"/>
        </w:rPr>
        <w:t>1.3.2</w:t>
      </w:r>
      <w:r w:rsidRPr="00D030DE">
        <w:rPr>
          <w:rFonts w:eastAsia="MS ??"/>
        </w:rPr>
        <w:tab/>
        <w:t>Communications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3 Interdisciplinary Team, 1.3.2 Communication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1.3.2.1</w:t>
            </w:r>
            <w:r w:rsidRPr="006679EA">
              <w:rPr>
                <w:rFonts w:ascii="Book Antiqua" w:eastAsia="MS ????" w:hAnsi="Book Antiqua" w:cs="Arial"/>
                <w:spacing w:val="-2"/>
                <w:sz w:val="20"/>
                <w:szCs w:val="20"/>
              </w:rPr>
              <w:tab/>
              <w:t>Does the IDT meet weekly to discuss relevant consumer updates, new assessments, and reassessment reviews?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3.2.2</w:t>
            </w:r>
            <w:r w:rsidRPr="006679EA">
              <w:rPr>
                <w:rFonts w:ascii="Book Antiqua" w:eastAsia="MS ????" w:hAnsi="Book Antiqua" w:cs="Arial"/>
                <w:spacing w:val="-2"/>
                <w:sz w:val="20"/>
                <w:szCs w:val="20"/>
              </w:rPr>
              <w:tab/>
              <w:t>Does the IDT ensure that each consumer’s IPC is reviewed at predetermined intervals?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1.3.2.3</w:t>
            </w:r>
            <w:r w:rsidRPr="006679EA">
              <w:rPr>
                <w:rFonts w:ascii="Book Antiqua" w:eastAsia="MS ????" w:hAnsi="Book Antiqua" w:cs="Arial"/>
                <w:spacing w:val="-2"/>
                <w:sz w:val="20"/>
                <w:szCs w:val="20"/>
              </w:rPr>
              <w:tab/>
              <w:t>If a consumer maintains a relationship with an external care provider, (a provider outside of the IDT) is there a designated staff member who is the point of contact for the external provider?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1.3.2.4</w:t>
            </w:r>
            <w:r w:rsidRPr="006679EA">
              <w:rPr>
                <w:rFonts w:ascii="Book Antiqua" w:eastAsia="MS ????" w:hAnsi="Book Antiqua" w:cs="Arial"/>
                <w:spacing w:val="-2"/>
                <w:sz w:val="20"/>
                <w:szCs w:val="20"/>
              </w:rPr>
              <w:tab/>
              <w:t>Is the IDT able to meet, either in person or virtually, within 24 to 48 hours if the consumer’s needs or situation changes?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1.3.2.5</w:t>
            </w:r>
            <w:r w:rsidRPr="006679EA">
              <w:rPr>
                <w:rFonts w:ascii="Book Antiqua" w:eastAsia="MS ????" w:hAnsi="Book Antiqua" w:cs="Arial"/>
                <w:spacing w:val="-2"/>
                <w:sz w:val="20"/>
                <w:szCs w:val="20"/>
              </w:rPr>
              <w:tab/>
              <w:t>Is the assessment and IPC available to anyone providing after-hours coverage?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1.12.6</w:t>
            </w:r>
            <w:r w:rsidRPr="006679EA">
              <w:rPr>
                <w:rFonts w:ascii="Book Antiqua" w:eastAsia="MS ????" w:hAnsi="Book Antiqua" w:cs="Cambria"/>
                <w:spacing w:val="-2"/>
                <w:sz w:val="20"/>
                <w:szCs w:val="20"/>
              </w:rPr>
              <w:tab/>
              <w:t>Is pertinent clinical and utilization data routinely provided to external providers to identify opportunities for improvement?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1.12.7</w:t>
            </w:r>
            <w:r w:rsidRPr="006679EA">
              <w:rPr>
                <w:rFonts w:ascii="Book Antiqua" w:eastAsia="MS ????" w:hAnsi="Book Antiqua" w:cs="Cambria"/>
                <w:spacing w:val="-2"/>
                <w:sz w:val="20"/>
                <w:szCs w:val="20"/>
              </w:rPr>
              <w:tab/>
              <w:t>Does the consumer have the ability to access all components of his or her health record?</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1.4</w:t>
      </w:r>
      <w:r w:rsidRPr="00D030DE">
        <w:rPr>
          <w:rFonts w:eastAsia="MS ??"/>
        </w:rPr>
        <w:tab/>
        <w:t>Assessment</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4 Assessment"/>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1.4.1</w:t>
            </w:r>
            <w:r w:rsidRPr="006679EA">
              <w:rPr>
                <w:rFonts w:ascii="Book Antiqua" w:eastAsia="MS ????" w:hAnsi="Book Antiqua" w:cs="Arial"/>
                <w:spacing w:val="-2"/>
                <w:sz w:val="20"/>
                <w:szCs w:val="20"/>
              </w:rPr>
              <w:tab/>
              <w:t>Is the initial assessment conducted in-person?</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1.4.2</w:t>
            </w:r>
            <w:r w:rsidRPr="006679EA">
              <w:rPr>
                <w:rFonts w:ascii="Book Antiqua" w:eastAsia="MS ????" w:hAnsi="Book Antiqua" w:cs="Arial"/>
                <w:spacing w:val="-2"/>
                <w:sz w:val="20"/>
                <w:szCs w:val="20"/>
              </w:rPr>
              <w:tab/>
              <w:t>Are at least a portion of the initial assessment and the periodic reassessments conducted in the consumer’s living environment?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1.4.3</w:t>
            </w:r>
            <w:r w:rsidRPr="006679EA">
              <w:rPr>
                <w:rFonts w:ascii="Book Antiqua" w:eastAsia="MS ????" w:hAnsi="Book Antiqua" w:cs="Arial"/>
                <w:spacing w:val="-2"/>
                <w:sz w:val="20"/>
                <w:szCs w:val="20"/>
              </w:rPr>
              <w:tab/>
              <w:t>Are the initial and subsequent assessments attended by all members of the core IDT (see 1.3.1)?</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spacing w:val="-2"/>
                <w:sz w:val="20"/>
                <w:szCs w:val="20"/>
              </w:rPr>
              <w:t>1.4.4</w:t>
            </w:r>
            <w:r w:rsidRPr="006679EA">
              <w:rPr>
                <w:rFonts w:ascii="Book Antiqua" w:eastAsia="MS ????" w:hAnsi="Book Antiqua" w:cs="Arial"/>
                <w:spacing w:val="-2"/>
                <w:sz w:val="20"/>
                <w:szCs w:val="20"/>
              </w:rPr>
              <w:tab/>
              <w:t>Is the consumer able to include other individuals in the assessment process?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1.4.5</w:t>
            </w:r>
            <w:r w:rsidRPr="006679EA">
              <w:rPr>
                <w:rFonts w:ascii="Book Antiqua" w:eastAsia="MS ????" w:hAnsi="Book Antiqua" w:cs="Arial"/>
                <w:spacing w:val="-2"/>
                <w:sz w:val="20"/>
                <w:szCs w:val="20"/>
              </w:rPr>
              <w:tab/>
              <w:t>Does the assessment process identify additional expertise needed for the consumer’s care?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spacing w:val="-2"/>
                <w:sz w:val="20"/>
                <w:szCs w:val="20"/>
              </w:rPr>
            </w:pPr>
            <w:r w:rsidRPr="006679EA">
              <w:rPr>
                <w:rFonts w:ascii="Book Antiqua" w:eastAsia="MS ????" w:hAnsi="Book Antiqua" w:cs="Arial"/>
                <w:spacing w:val="-2"/>
                <w:sz w:val="20"/>
                <w:szCs w:val="20"/>
              </w:rPr>
              <w:t>1.4.6</w:t>
            </w:r>
            <w:r w:rsidRPr="006679EA">
              <w:rPr>
                <w:rFonts w:ascii="Book Antiqua" w:eastAsia="MS ????" w:hAnsi="Book Antiqua" w:cs="Cambria"/>
                <w:bCs/>
                <w:spacing w:val="-2"/>
                <w:sz w:val="20"/>
                <w:szCs w:val="20"/>
              </w:rPr>
              <w:tab/>
            </w:r>
            <w:r w:rsidRPr="006679EA">
              <w:rPr>
                <w:rFonts w:ascii="Book Antiqua" w:eastAsia="MS ????" w:hAnsi="Book Antiqua" w:cs="Arial"/>
                <w:spacing w:val="-2"/>
                <w:sz w:val="20"/>
                <w:szCs w:val="20"/>
              </w:rPr>
              <w:t>Is the initial assessment comprehensive and multidimensional, incorporating all aspects of the consumer’s life?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1.5</w:t>
      </w:r>
      <w:r w:rsidRPr="00D030DE">
        <w:rPr>
          <w:rFonts w:eastAsia="MS ??"/>
        </w:rPr>
        <w:tab/>
        <w:t xml:space="preserve">Individualized </w:t>
      </w:r>
      <w:r>
        <w:rPr>
          <w:rFonts w:eastAsia="MS ??"/>
        </w:rPr>
        <w:t>a</w:t>
      </w:r>
      <w:r w:rsidRPr="00D030DE">
        <w:rPr>
          <w:rFonts w:eastAsia="MS ??"/>
        </w:rPr>
        <w:t xml:space="preserve">nd Person-Centered Plan </w:t>
      </w:r>
      <w:r>
        <w:rPr>
          <w:rFonts w:eastAsia="MS ??"/>
        </w:rPr>
        <w:t>o</w:t>
      </w:r>
      <w:r w:rsidRPr="00D030DE">
        <w:rPr>
          <w:rFonts w:eastAsia="MS ??"/>
        </w:rPr>
        <w:t>f Care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5 Individualized and Person-Centered Plan of Care"/>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1.5.1</w:t>
            </w:r>
            <w:r w:rsidRPr="006679EA">
              <w:rPr>
                <w:rFonts w:ascii="Book Antiqua" w:eastAsia="MS ????" w:hAnsi="Book Antiqua" w:cs="Arial"/>
                <w:bCs/>
                <w:spacing w:val="-2"/>
                <w:sz w:val="20"/>
                <w:szCs w:val="20"/>
              </w:rPr>
              <w:tab/>
              <w:t>Are the consumer’s care goals, action steps to meet those goals, and proposed interventions to overcome identified challenges documented in the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1.5.2</w:t>
            </w:r>
            <w:r w:rsidRPr="006679EA">
              <w:rPr>
                <w:rFonts w:ascii="Book Antiqua" w:eastAsia="MS ????" w:hAnsi="Book Antiqua" w:cs="Arial"/>
                <w:bCs/>
                <w:spacing w:val="-2"/>
                <w:sz w:val="20"/>
                <w:szCs w:val="20"/>
              </w:rPr>
              <w:tab/>
              <w:t>Does the IPC contain specific documentation of what formal (paid) and informal (unpaid) care and supports are needed as well as care and support services are being provided?</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1.5.3</w:t>
            </w:r>
            <w:r w:rsidRPr="006679EA">
              <w:rPr>
                <w:rFonts w:ascii="Book Antiqua" w:eastAsia="MS ????" w:hAnsi="Book Antiqua" w:cs="Arial"/>
                <w:bCs/>
                <w:spacing w:val="-2"/>
                <w:sz w:val="20"/>
                <w:szCs w:val="20"/>
              </w:rPr>
              <w:tab/>
            </w:r>
            <w:r w:rsidRPr="00D030DE">
              <w:rPr>
                <w:rFonts w:ascii="Book Antiqua" w:eastAsia="MS ????" w:hAnsi="Book Antiqua" w:cs="Arial"/>
                <w:bCs/>
                <w:sz w:val="20"/>
                <w:szCs w:val="20"/>
              </w:rPr>
              <w:t>Do IDT members ensure that consumers understand and feel empowered to accept, negotiate, or modify changes made to their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1.5.4</w:t>
            </w:r>
            <w:r w:rsidRPr="006679EA">
              <w:rPr>
                <w:rFonts w:ascii="Book Antiqua" w:eastAsia="MS ????" w:hAnsi="Book Antiqua" w:cs="Arial"/>
                <w:bCs/>
                <w:spacing w:val="-2"/>
                <w:sz w:val="20"/>
                <w:szCs w:val="20"/>
              </w:rPr>
              <w:tab/>
              <w:t>Do consumers and all members of the IDT have full access (electronically or on paper) to the initial IPC and any subsequent changes or updates?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1.6</w:t>
      </w:r>
      <w:r w:rsidRPr="00D030DE">
        <w:rPr>
          <w:rFonts w:eastAsia="MS ??"/>
        </w:rPr>
        <w:tab/>
        <w:t xml:space="preserve">Individualized </w:t>
      </w:r>
      <w:r>
        <w:rPr>
          <w:rFonts w:eastAsia="MS ??"/>
        </w:rPr>
        <w:t>a</w:t>
      </w:r>
      <w:r w:rsidRPr="00D030DE">
        <w:rPr>
          <w:rFonts w:eastAsia="MS ??"/>
        </w:rPr>
        <w:t xml:space="preserve">nd Person-Centered Plan </w:t>
      </w:r>
      <w:r>
        <w:rPr>
          <w:rFonts w:eastAsia="MS ??"/>
        </w:rPr>
        <w:t>o</w:t>
      </w:r>
      <w:r w:rsidRPr="00D030DE">
        <w:rPr>
          <w:rFonts w:eastAsia="MS ??"/>
        </w:rPr>
        <w:t xml:space="preserve">f Care Oversight </w:t>
      </w:r>
      <w:r>
        <w:rPr>
          <w:rFonts w:eastAsia="MS ??"/>
        </w:rPr>
        <w:t>a</w:t>
      </w:r>
      <w:r w:rsidRPr="00D030DE">
        <w:rPr>
          <w:rFonts w:eastAsia="MS ??"/>
        </w:rPr>
        <w:t>nd Coordination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6 Individualized and Person-Centered Plan of Care Oversight and Coordination"/>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1.6.1</w:t>
            </w:r>
            <w:r w:rsidRPr="006679EA">
              <w:rPr>
                <w:rFonts w:ascii="Book Antiqua" w:eastAsia="MS ????" w:hAnsi="Book Antiqua" w:cs="Arial"/>
                <w:bCs/>
                <w:spacing w:val="-2"/>
                <w:sz w:val="20"/>
                <w:szCs w:val="20"/>
              </w:rPr>
              <w:tab/>
              <w:t>Are IDT members alerted when a consumer has a change in health status or care needs that affects the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1.6.2</w:t>
            </w:r>
            <w:r w:rsidRPr="006679EA">
              <w:rPr>
                <w:rFonts w:ascii="Book Antiqua" w:eastAsia="MS ????" w:hAnsi="Book Antiqua" w:cs="Arial"/>
                <w:bCs/>
                <w:spacing w:val="-2"/>
                <w:sz w:val="20"/>
                <w:szCs w:val="20"/>
              </w:rPr>
              <w:tab/>
              <w:t>Is the IDT provided with clear criteria as to when a change in a consumer’s health, condition, or caregiver status requires a revision to his or her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Arial"/>
                <w:bCs/>
                <w:spacing w:val="-2"/>
                <w:sz w:val="20"/>
                <w:szCs w:val="20"/>
              </w:rPr>
            </w:pPr>
            <w:r w:rsidRPr="006679EA">
              <w:rPr>
                <w:rFonts w:ascii="Book Antiqua" w:eastAsia="MS ????" w:hAnsi="Book Antiqua" w:cs="Arial"/>
                <w:bCs/>
                <w:spacing w:val="-2"/>
                <w:sz w:val="20"/>
                <w:szCs w:val="20"/>
              </w:rPr>
              <w:t>1.6.3</w:t>
            </w:r>
            <w:r w:rsidRPr="006679EA">
              <w:rPr>
                <w:rFonts w:ascii="Book Antiqua" w:eastAsia="MS ????" w:hAnsi="Book Antiqua" w:cs="Arial"/>
                <w:bCs/>
                <w:spacing w:val="-2"/>
                <w:sz w:val="20"/>
                <w:szCs w:val="20"/>
              </w:rPr>
              <w:tab/>
              <w:t>Is the IDT provided with timely reminders to guide their work with each consumer as specified in the IPC?</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1.7</w:t>
      </w:r>
      <w:r w:rsidRPr="00D030DE">
        <w:rPr>
          <w:rFonts w:eastAsia="MS ??"/>
        </w:rPr>
        <w:tab/>
        <w:t>Transitions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7 Transition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1.7.1</w:t>
            </w:r>
            <w:r w:rsidRPr="006679EA">
              <w:rPr>
                <w:rFonts w:ascii="Book Antiqua" w:eastAsia="MS ????" w:hAnsi="Book Antiqua" w:cs="Cambria"/>
                <w:spacing w:val="-2"/>
                <w:sz w:val="20"/>
                <w:szCs w:val="20"/>
              </w:rPr>
              <w:tab/>
              <w:t>Are there protocols to assist IDT members in managing key types of transitions?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1.7.2</w:t>
            </w:r>
            <w:r w:rsidRPr="006679EA">
              <w:rPr>
                <w:rFonts w:ascii="Book Antiqua" w:eastAsia="MS ????" w:hAnsi="Book Antiqua" w:cs="Cambria"/>
                <w:spacing w:val="-2"/>
                <w:sz w:val="20"/>
                <w:szCs w:val="20"/>
              </w:rPr>
              <w:tab/>
              <w:t>Is a transition plan developed and implemented for all significant consumer changes?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1.7.3</w:t>
            </w:r>
            <w:r w:rsidRPr="006679EA">
              <w:rPr>
                <w:rFonts w:ascii="Book Antiqua" w:eastAsia="MS ????" w:hAnsi="Book Antiqua" w:cs="Cambria"/>
                <w:spacing w:val="-2"/>
                <w:sz w:val="20"/>
                <w:szCs w:val="20"/>
              </w:rPr>
              <w:tab/>
              <w:t>Do all consumer transitions have an IDT member identified as responsible for ensuring successful completion and timely follow up?</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1.7.4</w:t>
            </w:r>
            <w:r w:rsidRPr="006679EA">
              <w:rPr>
                <w:rFonts w:ascii="Book Antiqua" w:eastAsia="MS ????" w:hAnsi="Book Antiqua" w:cs="Cambria"/>
                <w:spacing w:val="-2"/>
                <w:sz w:val="20"/>
                <w:szCs w:val="20"/>
              </w:rPr>
              <w:tab/>
              <w:t>Are peer support and counseling services available to consumers considering or undertaking a transition process?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1.7.5</w:t>
            </w:r>
            <w:r w:rsidRPr="006679EA">
              <w:rPr>
                <w:rFonts w:ascii="Book Antiqua" w:eastAsia="MS ????" w:hAnsi="Book Antiqua" w:cs="Cambria"/>
                <w:spacing w:val="-2"/>
                <w:sz w:val="20"/>
                <w:szCs w:val="20"/>
              </w:rPr>
              <w:tab/>
              <w:t>Does a significant change in the consumer’s functional capacity trigger consideration of a potential transition plan?</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1.7.6</w:t>
            </w:r>
            <w:r w:rsidRPr="006679EA">
              <w:rPr>
                <w:rFonts w:ascii="Book Antiqua" w:eastAsia="MS ????" w:hAnsi="Book Antiqua" w:cs="Cambria"/>
                <w:spacing w:val="-2"/>
                <w:sz w:val="20"/>
                <w:szCs w:val="20"/>
              </w:rPr>
              <w:tab/>
              <w:t>Does the IDT collaborate and provide resources to the caregiver or family member to assist with the transition?</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1.8</w:t>
      </w:r>
      <w:r w:rsidRPr="00D030DE">
        <w:rPr>
          <w:rFonts w:eastAsia="MS ??"/>
        </w:rPr>
        <w:tab/>
        <w:t xml:space="preserve">Tailoring Services </w:t>
      </w:r>
      <w:r>
        <w:rPr>
          <w:rFonts w:eastAsia="MS ??"/>
        </w:rPr>
        <w:t>a</w:t>
      </w:r>
      <w:r w:rsidRPr="00D030DE">
        <w:rPr>
          <w:rFonts w:eastAsia="MS ??"/>
        </w:rPr>
        <w:t>nd Supports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8 Tailoring Services and Support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keepNext/>
              <w:keepLines/>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1.8.1</w:t>
            </w:r>
            <w:r w:rsidRPr="006679EA">
              <w:rPr>
                <w:rFonts w:ascii="Book Antiqua" w:eastAsia="MS ????" w:hAnsi="Book Antiqua" w:cs="Cambria"/>
                <w:spacing w:val="-2"/>
                <w:sz w:val="20"/>
                <w:szCs w:val="20"/>
              </w:rPr>
              <w:tab/>
              <w:t>Are traditional services/supports substituted with alternative services that might not be considered “covered services” when appropriate?</w:t>
            </w:r>
          </w:p>
        </w:tc>
        <w:tc>
          <w:tcPr>
            <w:tcW w:w="2304" w:type="dxa"/>
            <w:vAlign w:val="center"/>
          </w:tcPr>
          <w:p w:rsidR="00D030DE" w:rsidRPr="006679EA" w:rsidRDefault="00D030DE" w:rsidP="00D030DE">
            <w:pPr>
              <w:keepNext/>
              <w:keepLines/>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keepNext/>
              <w:keepLines/>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1.8.2</w:t>
            </w:r>
            <w:r w:rsidRPr="006679EA">
              <w:rPr>
                <w:rFonts w:ascii="Book Antiqua" w:eastAsia="MS ????" w:hAnsi="Book Antiqua" w:cs="Cambria"/>
                <w:spacing w:val="-2"/>
                <w:sz w:val="20"/>
                <w:szCs w:val="20"/>
              </w:rPr>
              <w:tab/>
              <w:t>Does the IDT have the authority to modify the means of care delivery based on the unique context of the individual or a specific change in condition (either temporary or long-term)?</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1.9</w:t>
      </w:r>
      <w:r w:rsidRPr="00D030DE">
        <w:rPr>
          <w:rFonts w:eastAsia="MS ??"/>
        </w:rPr>
        <w:tab/>
        <w:t>Advance Care Planning</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9 Advance Care Planning"/>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1.9.1</w:t>
            </w:r>
            <w:r w:rsidRPr="006679EA">
              <w:rPr>
                <w:rFonts w:ascii="Book Antiqua" w:eastAsia="MS ????" w:hAnsi="Book Antiqua" w:cs="Cambria"/>
                <w:spacing w:val="-2"/>
                <w:sz w:val="20"/>
                <w:szCs w:val="20"/>
              </w:rPr>
              <w:tab/>
              <w:t>Are consumers routinely asked to consider advance care planning?</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proofErr w:type="gramStart"/>
            <w:r>
              <w:rPr>
                <w:rFonts w:ascii="Book Antiqua" w:eastAsia="MS ????" w:hAnsi="Book Antiqua" w:cs="Cambria"/>
                <w:spacing w:val="-2"/>
                <w:sz w:val="20"/>
                <w:szCs w:val="20"/>
              </w:rPr>
              <w:t>1.9.2</w:t>
            </w:r>
            <w:r>
              <w:rPr>
                <w:rFonts w:ascii="Book Antiqua" w:eastAsia="MS ????" w:hAnsi="Book Antiqua" w:cs="Cambria"/>
                <w:spacing w:val="-2"/>
                <w:sz w:val="20"/>
                <w:szCs w:val="20"/>
              </w:rPr>
              <w:tab/>
            </w:r>
            <w:r w:rsidRPr="006679EA">
              <w:rPr>
                <w:rFonts w:ascii="Book Antiqua" w:eastAsia="MS ????" w:hAnsi="Book Antiqua" w:cs="Cambria"/>
                <w:spacing w:val="-2"/>
                <w:sz w:val="20"/>
                <w:szCs w:val="20"/>
              </w:rPr>
              <w:t>Are</w:t>
            </w:r>
            <w:proofErr w:type="gramEnd"/>
            <w:r w:rsidRPr="006679EA">
              <w:rPr>
                <w:rFonts w:ascii="Book Antiqua" w:eastAsia="MS ????" w:hAnsi="Book Antiqua" w:cs="Cambria"/>
                <w:spacing w:val="-2"/>
                <w:sz w:val="20"/>
                <w:szCs w:val="20"/>
              </w:rPr>
              <w:t xml:space="preserve"> staff trained in coaching consumers on advance care planning and end-of-life care decisions?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1.9.3</w:t>
            </w:r>
            <w:r w:rsidRPr="006679EA">
              <w:rPr>
                <w:rFonts w:ascii="Book Antiqua" w:eastAsia="MS ????" w:hAnsi="Book Antiqua" w:cs="Cambria"/>
                <w:spacing w:val="-2"/>
                <w:sz w:val="20"/>
                <w:szCs w:val="20"/>
              </w:rPr>
              <w:tab/>
              <w:t>Are consumers offered counseling or assistance in advance care planning?</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1.9.4</w:t>
            </w:r>
            <w:r w:rsidRPr="006679EA">
              <w:rPr>
                <w:rFonts w:ascii="Book Antiqua" w:eastAsia="MS ????" w:hAnsi="Book Antiqua" w:cs="Cambria"/>
                <w:spacing w:val="-2"/>
                <w:sz w:val="20"/>
                <w:szCs w:val="20"/>
              </w:rPr>
              <w:tab/>
              <w:t>Are all advance care plans reviewed by the IDT and revisited at least annually with each consumer?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1.9.5</w:t>
            </w:r>
            <w:r w:rsidRPr="006679EA">
              <w:rPr>
                <w:rFonts w:ascii="Book Antiqua" w:eastAsia="MS ????" w:hAnsi="Book Antiqua" w:cs="Cambria"/>
                <w:spacing w:val="-2"/>
                <w:sz w:val="20"/>
                <w:szCs w:val="20"/>
              </w:rPr>
              <w:tab/>
              <w:t>Are all completed advance care plans documented in the consumer’s health record for access by all providers, including those providing after-hours care?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1.10</w:t>
      </w:r>
      <w:r w:rsidRPr="00D030DE">
        <w:rPr>
          <w:rFonts w:eastAsia="MS ??"/>
        </w:rPr>
        <w:tab/>
        <w:t xml:space="preserve">Allocation </w:t>
      </w:r>
      <w:r>
        <w:rPr>
          <w:rFonts w:eastAsia="MS ??"/>
        </w:rPr>
        <w:t>o</w:t>
      </w:r>
      <w:r w:rsidRPr="00D030DE">
        <w:rPr>
          <w:rFonts w:eastAsia="MS ??"/>
        </w:rPr>
        <w:t xml:space="preserve">f Care Management </w:t>
      </w:r>
      <w:r>
        <w:rPr>
          <w:rFonts w:eastAsia="MS ??"/>
        </w:rPr>
        <w:t>a</w:t>
      </w:r>
      <w:r w:rsidRPr="00D030DE">
        <w:rPr>
          <w:rFonts w:eastAsia="MS ??"/>
        </w:rPr>
        <w:t>nd Services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10 Allocation of Care Management and Service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1.10.1</w:t>
            </w:r>
            <w:r w:rsidRPr="006679EA">
              <w:rPr>
                <w:rFonts w:ascii="Book Antiqua" w:eastAsia="MS ????" w:hAnsi="Book Antiqua" w:cs="Cambria"/>
                <w:spacing w:val="-2"/>
                <w:sz w:val="20"/>
                <w:szCs w:val="20"/>
              </w:rPr>
              <w:tab/>
              <w:t>Is there a process for determining the nature and amount of care management required by each consumer?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1.10.2</w:t>
            </w:r>
            <w:r w:rsidRPr="006679EA">
              <w:rPr>
                <w:rFonts w:ascii="Book Antiqua" w:eastAsia="MS ????" w:hAnsi="Book Antiqua" w:cs="Cambria"/>
                <w:spacing w:val="-2"/>
                <w:sz w:val="20"/>
                <w:szCs w:val="20"/>
              </w:rPr>
              <w:tab/>
              <w:t>Are consumer expectations and preferences a routine part of the assessment process for determining care management support provided by the IDT or other designated person?</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1.10.3</w:t>
            </w:r>
            <w:r w:rsidRPr="006679EA">
              <w:rPr>
                <w:rFonts w:ascii="Book Antiqua" w:eastAsia="MS ????" w:hAnsi="Book Antiqua" w:cs="Cambria"/>
                <w:spacing w:val="-2"/>
                <w:sz w:val="20"/>
                <w:szCs w:val="20"/>
              </w:rPr>
              <w:tab/>
              <w:t>Does the IDT review and discuss the consumer’s expectations of care management during all reassessments to ensure he or she receives the level, nature, and timeliness of care management he or she desires and requires?</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1.10.4</w:t>
            </w:r>
            <w:r w:rsidRPr="006679EA">
              <w:rPr>
                <w:rFonts w:ascii="Book Antiqua" w:eastAsia="MS ????" w:hAnsi="Book Antiqua" w:cs="Cambria"/>
                <w:spacing w:val="-2"/>
                <w:sz w:val="20"/>
                <w:szCs w:val="20"/>
              </w:rPr>
              <w:tab/>
              <w:t>Are consumers specifically coached as to when and how they may seek and obtain care management support?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1.11</w:t>
      </w:r>
      <w:r w:rsidRPr="00D030DE">
        <w:rPr>
          <w:rFonts w:eastAsia="MS ??"/>
        </w:rPr>
        <w:tab/>
        <w:t xml:space="preserve">Interacting </w:t>
      </w:r>
      <w:r>
        <w:rPr>
          <w:rFonts w:eastAsia="MS ??"/>
        </w:rPr>
        <w:t>w</w:t>
      </w:r>
      <w:r w:rsidRPr="00D030DE">
        <w:rPr>
          <w:rFonts w:eastAsia="MS ??"/>
        </w:rPr>
        <w:t>ith Care Partners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11 Interacting with Care Partners"/>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keepNext/>
              <w:keepLines/>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1.11.1</w:t>
            </w:r>
            <w:r w:rsidRPr="006679EA">
              <w:rPr>
                <w:rFonts w:ascii="Book Antiqua" w:eastAsia="MS ????" w:hAnsi="Book Antiqua" w:cs="Cambria"/>
                <w:spacing w:val="-2"/>
                <w:sz w:val="20"/>
                <w:szCs w:val="20"/>
              </w:rPr>
              <w:tab/>
              <w:t>Does the IDT routinely inquire whether consumers have an ongoing care partner who accompanies the consumer to medical appointments, and does the IDT recommend this process when necessary?</w:t>
            </w:r>
          </w:p>
        </w:tc>
        <w:tc>
          <w:tcPr>
            <w:tcW w:w="2304" w:type="dxa"/>
            <w:vAlign w:val="center"/>
          </w:tcPr>
          <w:p w:rsidR="00D030DE" w:rsidRPr="006679EA" w:rsidRDefault="00D030DE" w:rsidP="00D030DE">
            <w:pPr>
              <w:keepNext/>
              <w:keepLines/>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keepNext/>
              <w:keepLines/>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1.11.2</w:t>
            </w:r>
            <w:r w:rsidRPr="006679EA">
              <w:rPr>
                <w:rFonts w:ascii="Book Antiqua" w:eastAsia="MS ????" w:hAnsi="Book Antiqua" w:cs="Cambria"/>
                <w:spacing w:val="-2"/>
                <w:sz w:val="20"/>
                <w:szCs w:val="20"/>
              </w:rPr>
              <w:tab/>
              <w:t>Is there a means of communication established between the IDT and the identified care partner?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1.11.3</w:t>
            </w:r>
            <w:r w:rsidRPr="006679EA">
              <w:rPr>
                <w:rFonts w:ascii="Book Antiqua" w:eastAsia="MS ????" w:hAnsi="Book Antiqua" w:cs="Cambria"/>
                <w:spacing w:val="-2"/>
                <w:sz w:val="20"/>
                <w:szCs w:val="20"/>
              </w:rPr>
              <w:tab/>
              <w:t>Are care partners offered training to prepare them for their support role?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Pr="00C66E9A" w:rsidRDefault="00D030DE" w:rsidP="00D030DE">
      <w:pPr>
        <w:pStyle w:val="Heading2"/>
        <w:rPr>
          <w:rFonts w:eastAsia="MS ??"/>
        </w:rPr>
      </w:pPr>
      <w:r w:rsidRPr="00D030DE">
        <w:rPr>
          <w:rFonts w:eastAsia="MS ??"/>
        </w:rPr>
        <w:t>1.12</w:t>
      </w:r>
      <w:r w:rsidRPr="00D030DE">
        <w:rPr>
          <w:rFonts w:eastAsia="MS ??"/>
        </w:rPr>
        <w:tab/>
        <w:t>Health Record</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1: Relational-based Care Management, 1.12 Health Record"/>
      </w:tblPr>
      <w:tblGrid>
        <w:gridCol w:w="4878"/>
        <w:gridCol w:w="2304"/>
        <w:gridCol w:w="255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30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55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1.12.1</w:t>
            </w:r>
            <w:r w:rsidRPr="006679EA">
              <w:rPr>
                <w:rFonts w:ascii="Book Antiqua" w:eastAsia="MS ????" w:hAnsi="Book Antiqua" w:cs="Cambria"/>
                <w:spacing w:val="-2"/>
                <w:sz w:val="20"/>
                <w:szCs w:val="20"/>
              </w:rPr>
              <w:tab/>
              <w:t>Is all information (e.g., medical, social, medications, financial) for each consumer documented, maintained, and updated within the health record for that?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1.12.2</w:t>
            </w:r>
            <w:r w:rsidRPr="006679EA">
              <w:rPr>
                <w:rFonts w:ascii="Book Antiqua" w:eastAsia="MS ????" w:hAnsi="Book Antiqua" w:cs="Cambria"/>
                <w:spacing w:val="-2"/>
                <w:sz w:val="20"/>
                <w:szCs w:val="20"/>
              </w:rPr>
              <w:tab/>
              <w:t>If an EHR is maintained, is it interoperable with EHRs of key providers involved in the consumer’s care?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1.12.3</w:t>
            </w:r>
            <w:r w:rsidRPr="006679EA">
              <w:rPr>
                <w:rFonts w:ascii="Book Antiqua" w:eastAsia="MS ????" w:hAnsi="Book Antiqua" w:cs="Cambria"/>
                <w:spacing w:val="-2"/>
                <w:sz w:val="20"/>
                <w:szCs w:val="20"/>
              </w:rPr>
              <w:tab/>
              <w:t>Does an IDT member or support person specifically manage, update, and disseminate each consumer’s information to appropriate providers as discussed with and approved by the consumer?</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1.12.4</w:t>
            </w:r>
            <w:r w:rsidRPr="006679EA">
              <w:rPr>
                <w:rFonts w:ascii="Book Antiqua" w:eastAsia="MS ????" w:hAnsi="Book Antiqua" w:cs="Cambria"/>
                <w:spacing w:val="-2"/>
                <w:sz w:val="20"/>
                <w:szCs w:val="20"/>
              </w:rPr>
              <w:tab/>
              <w:t>Is there a means to quickly access, communicate, and disseminate key consumer information, especially for anyone providing after-hours coverage?</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1.12.5</w:t>
            </w:r>
            <w:r w:rsidRPr="006679EA">
              <w:rPr>
                <w:rFonts w:ascii="Book Antiqua" w:eastAsia="MS ????" w:hAnsi="Book Antiqua" w:cs="Cambria"/>
                <w:spacing w:val="-2"/>
                <w:sz w:val="20"/>
                <w:szCs w:val="20"/>
              </w:rPr>
              <w:tab/>
              <w:t>Is utilization data in the health record routinely reviewed by the IDT to identify areas for clinical intervention and quality improvement?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1.12.6</w:t>
            </w:r>
            <w:r w:rsidRPr="006679EA">
              <w:rPr>
                <w:rFonts w:ascii="Book Antiqua" w:eastAsia="MS ????" w:hAnsi="Book Antiqua" w:cs="Cambria"/>
                <w:spacing w:val="-2"/>
                <w:sz w:val="20"/>
                <w:szCs w:val="20"/>
              </w:rPr>
              <w:tab/>
              <w:t>Is pertinent clinical and utilization data routinely provided to external providers to identify opportunities for improvement?</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1.12.7</w:t>
            </w:r>
            <w:r w:rsidRPr="006679EA">
              <w:rPr>
                <w:rFonts w:ascii="Book Antiqua" w:eastAsia="MS ????" w:hAnsi="Book Antiqua" w:cs="Cambria"/>
                <w:spacing w:val="-2"/>
                <w:sz w:val="20"/>
                <w:szCs w:val="20"/>
              </w:rPr>
              <w:tab/>
              <w:t>Does the consumer have the ability to access all components of his or her health record?</w:t>
            </w:r>
          </w:p>
        </w:tc>
        <w:tc>
          <w:tcPr>
            <w:tcW w:w="230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55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BD0EEF" w:rsidRDefault="00D030DE" w:rsidP="00D030DE">
      <w:pPr>
        <w:pStyle w:val="Heading1"/>
        <w:pageBreakBefore/>
        <w:ind w:left="0" w:firstLine="0"/>
        <w:rPr>
          <w:rFonts w:eastAsia="MS ??"/>
        </w:rPr>
      </w:pPr>
      <w:r>
        <w:rPr>
          <w:rFonts w:eastAsia="MS ??"/>
        </w:rPr>
        <w:t>Domain 2:</w:t>
      </w:r>
      <w:r>
        <w:rPr>
          <w:rFonts w:eastAsia="MS ??"/>
        </w:rPr>
        <w:tab/>
      </w:r>
      <w:r w:rsidR="00BD0EEF" w:rsidRPr="002E0432">
        <w:rPr>
          <w:rFonts w:eastAsia="MS ??"/>
        </w:rPr>
        <w:t>H</w:t>
      </w:r>
      <w:r w:rsidR="000D0B3D" w:rsidRPr="002E0432">
        <w:rPr>
          <w:rFonts w:eastAsia="MS ??"/>
        </w:rPr>
        <w:t xml:space="preserve">ighly </w:t>
      </w:r>
      <w:r>
        <w:rPr>
          <w:rFonts w:eastAsia="MS ??"/>
        </w:rPr>
        <w:t>R</w:t>
      </w:r>
      <w:r w:rsidR="000D0B3D" w:rsidRPr="002E0432">
        <w:rPr>
          <w:rFonts w:eastAsia="MS ??"/>
        </w:rPr>
        <w:t xml:space="preserve">esponsive Primary Care </w:t>
      </w:r>
    </w:p>
    <w:p w:rsidR="00D030DE" w:rsidRDefault="00D030DE" w:rsidP="00D030DE">
      <w:pPr>
        <w:pStyle w:val="Heading2"/>
        <w:spacing w:before="0"/>
        <w:rPr>
          <w:rFonts w:eastAsia="MS ??"/>
        </w:rPr>
      </w:pPr>
      <w:r w:rsidRPr="00D030DE">
        <w:rPr>
          <w:rFonts w:eastAsia="MS ??"/>
        </w:rPr>
        <w:t>2.1</w:t>
      </w:r>
      <w:r w:rsidRPr="00D030DE">
        <w:rPr>
          <w:rFonts w:eastAsia="MS ??"/>
        </w:rPr>
        <w:tab/>
        <w:t>Primary Care Network Capacity</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2:  Highly Responsive Primary Care, 2.1 Primary Care Network Capacity&#10;"/>
      </w:tblPr>
      <w:tblGrid>
        <w:gridCol w:w="4878"/>
        <w:gridCol w:w="2214"/>
        <w:gridCol w:w="264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2.1.1</w:t>
            </w:r>
            <w:r w:rsidRPr="006679EA">
              <w:rPr>
                <w:rFonts w:ascii="Book Antiqua" w:eastAsia="MS ????" w:hAnsi="Book Antiqua" w:cs="Cambria"/>
                <w:spacing w:val="-2"/>
                <w:sz w:val="20"/>
                <w:szCs w:val="20"/>
              </w:rPr>
              <w:tab/>
              <w:t>Does your organization assess the geriatric capacity of provider networks?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2.1.2</w:t>
            </w:r>
            <w:r w:rsidRPr="006679EA">
              <w:rPr>
                <w:rFonts w:ascii="Book Antiqua" w:eastAsia="MS ????" w:hAnsi="Book Antiqua" w:cs="Cambria"/>
                <w:bCs/>
                <w:spacing w:val="-2"/>
                <w:sz w:val="20"/>
                <w:szCs w:val="20"/>
              </w:rPr>
              <w:tab/>
              <w:t>Are strategies employed to help primary care practitioners enhance their geriatric awareness and competencies?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2.1.3</w:t>
            </w:r>
            <w:r w:rsidRPr="006679EA">
              <w:rPr>
                <w:rFonts w:ascii="Book Antiqua" w:eastAsia="MS ????" w:hAnsi="Book Antiqua" w:cs="Cambria"/>
                <w:bCs/>
                <w:spacing w:val="-2"/>
                <w:sz w:val="20"/>
                <w:szCs w:val="20"/>
              </w:rPr>
              <w:tab/>
              <w:t>Do all primary care practices have a network of accessible geriatric-competent providers for basic diagnostic tests, including x-ray and laboratory testing?</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2.1.4</w:t>
            </w:r>
            <w:r w:rsidRPr="006679EA">
              <w:rPr>
                <w:rFonts w:ascii="Book Antiqua" w:eastAsia="MS ????" w:hAnsi="Book Antiqua" w:cs="Cambria"/>
                <w:bCs/>
                <w:spacing w:val="-2"/>
                <w:sz w:val="20"/>
                <w:szCs w:val="20"/>
              </w:rPr>
              <w:tab/>
              <w:t>When involving non-primary care entities, are there strategies that primary care providers can use to help them become more aware and competent to care for the geriatric population?</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2.1.5</w:t>
            </w:r>
            <w:r w:rsidRPr="006679EA">
              <w:rPr>
                <w:rFonts w:ascii="Book Antiqua" w:eastAsia="MS ????" w:hAnsi="Book Antiqua" w:cs="Cambria"/>
                <w:bCs/>
                <w:spacing w:val="-2"/>
                <w:sz w:val="20"/>
                <w:szCs w:val="20"/>
              </w:rPr>
              <w:tab/>
              <w:t>Are there strategies in place to ensure integration of primary care and behavioral health, as well as close collaboration between primary care, behavioral health, and LTSS providers?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2.1.6</w:t>
            </w:r>
            <w:r w:rsidRPr="006679EA">
              <w:rPr>
                <w:rFonts w:ascii="Book Antiqua" w:eastAsia="MS ????" w:hAnsi="Book Antiqua" w:cs="Cambria"/>
                <w:bCs/>
                <w:spacing w:val="-2"/>
                <w:sz w:val="20"/>
                <w:szCs w:val="20"/>
              </w:rPr>
              <w:tab/>
              <w:t>Do all primary care practitioners have access to a network of medical sub-specialists who are experienced in providing care for geriatric consumers?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2.1.7</w:t>
            </w:r>
            <w:r w:rsidRPr="006679EA">
              <w:rPr>
                <w:rFonts w:ascii="Book Antiqua" w:eastAsia="MS ????" w:hAnsi="Book Antiqua" w:cs="Cambria"/>
                <w:bCs/>
                <w:spacing w:val="-2"/>
                <w:sz w:val="20"/>
                <w:szCs w:val="20"/>
              </w:rPr>
              <w:tab/>
              <w:t>Is there a mechanism to track the performance of non-primary care entities?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2.1.8</w:t>
            </w:r>
            <w:r w:rsidRPr="006679EA">
              <w:rPr>
                <w:rFonts w:ascii="Book Antiqua" w:eastAsia="MS ????" w:hAnsi="Book Antiqua" w:cs="Cambria"/>
                <w:bCs/>
                <w:spacing w:val="-2"/>
                <w:sz w:val="20"/>
                <w:szCs w:val="20"/>
              </w:rPr>
              <w:tab/>
              <w:t>Do primary care providers use care guidelines to observe for secondary complications of chronic conditions or common problems associated with aging?</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pageBreakBefore/>
        <w:spacing w:before="0"/>
        <w:rPr>
          <w:rFonts w:eastAsia="MS ??"/>
        </w:rPr>
      </w:pPr>
      <w:r w:rsidRPr="00D030DE">
        <w:rPr>
          <w:rFonts w:eastAsia="MS ??"/>
        </w:rPr>
        <w:t>2.2</w:t>
      </w:r>
      <w:r w:rsidRPr="00D030DE">
        <w:rPr>
          <w:rFonts w:eastAsia="MS ??"/>
        </w:rPr>
        <w:tab/>
        <w:t xml:space="preserve">Availability </w:t>
      </w:r>
      <w:r>
        <w:rPr>
          <w:rFonts w:eastAsia="MS ??"/>
        </w:rPr>
        <w:t>o</w:t>
      </w:r>
      <w:r w:rsidRPr="00D030DE">
        <w:rPr>
          <w:rFonts w:eastAsia="MS ??"/>
        </w:rPr>
        <w:t>f Care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2:  Highly Responsive Primary Care, 2.2 Availability of Care"/>
      </w:tblPr>
      <w:tblGrid>
        <w:gridCol w:w="4878"/>
        <w:gridCol w:w="2214"/>
        <w:gridCol w:w="264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2.2.1</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primary care practitioners available for diagnosis and treatment at all times?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2.2.2</w:t>
            </w:r>
            <w:r w:rsidRPr="006679EA">
              <w:rPr>
                <w:rFonts w:ascii="Book Antiqua" w:eastAsia="MS ????" w:hAnsi="Book Antiqua" w:cs="Cambria"/>
                <w:bCs/>
                <w:spacing w:val="-2"/>
                <w:sz w:val="20"/>
                <w:szCs w:val="20"/>
              </w:rPr>
              <w:tab/>
              <w:t>Are primary care practitioners available to provide care in the community (clinic or place of residence)?</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2.2.3</w:t>
            </w:r>
            <w:r w:rsidRPr="006679EA">
              <w:rPr>
                <w:rFonts w:ascii="Book Antiqua" w:eastAsia="MS ????" w:hAnsi="Book Antiqua" w:cs="Cambria"/>
                <w:bCs/>
                <w:spacing w:val="-2"/>
                <w:sz w:val="20"/>
                <w:szCs w:val="20"/>
              </w:rPr>
              <w:tab/>
              <w:t>Are primary care practitioners’ schedules adequately flexible to provide same-day episodic care assessment and clinical management?</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2.2.4</w:t>
            </w:r>
            <w:r w:rsidRPr="006679EA">
              <w:rPr>
                <w:rFonts w:ascii="Book Antiqua" w:eastAsia="MS ????" w:hAnsi="Book Antiqua" w:cs="Cambria"/>
                <w:bCs/>
                <w:spacing w:val="-2"/>
                <w:sz w:val="20"/>
                <w:szCs w:val="20"/>
              </w:rPr>
              <w:tab/>
              <w:t>Are mental and behavioral health crisis intervention services available at all times?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2.2.5</w:t>
            </w:r>
            <w:r w:rsidRPr="006679EA">
              <w:rPr>
                <w:rFonts w:ascii="Book Antiqua" w:eastAsia="MS ????" w:hAnsi="Book Antiqua" w:cs="Cambria"/>
                <w:bCs/>
                <w:spacing w:val="-2"/>
                <w:sz w:val="20"/>
                <w:szCs w:val="20"/>
              </w:rPr>
              <w:tab/>
              <w:t>If applicable, do non-primary care entities routinely communicate with the IDT or primary care manager to ensure adherence to treatment plans and follow up on referrals?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2.3</w:t>
      </w:r>
      <w:r w:rsidRPr="00D030DE">
        <w:rPr>
          <w:rFonts w:eastAsia="MS ??"/>
        </w:rPr>
        <w:tab/>
        <w:t>Medication Management</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2:  Highly Responsive Primary Care, 2.3 Medication Management"/>
      </w:tblPr>
      <w:tblGrid>
        <w:gridCol w:w="4878"/>
        <w:gridCol w:w="2214"/>
        <w:gridCol w:w="264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2.3.1</w:t>
            </w:r>
            <w:r w:rsidRPr="006679EA">
              <w:rPr>
                <w:rFonts w:ascii="Book Antiqua" w:eastAsia="MS ????" w:hAnsi="Book Antiqua" w:cs="Cambria"/>
                <w:bCs/>
                <w:spacing w:val="-2"/>
                <w:sz w:val="20"/>
                <w:szCs w:val="20"/>
              </w:rPr>
              <w:tab/>
              <w:t>Are all medications reviewed at assessment, reassessment, transitions, and when there is a significant change in condition?</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2.3.2</w:t>
            </w:r>
            <w:r w:rsidRPr="006679EA">
              <w:rPr>
                <w:rFonts w:ascii="Book Antiqua" w:eastAsia="MS ????" w:hAnsi="Book Antiqua" w:cs="Cambria"/>
                <w:bCs/>
                <w:spacing w:val="-2"/>
                <w:sz w:val="20"/>
                <w:szCs w:val="20"/>
              </w:rPr>
              <w:tab/>
              <w:t>Is a consulting clinical pharmacist available to the IDT to assess and address polypharmacy and inappropriate prescribing?</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2.3.3</w:t>
            </w:r>
            <w:r w:rsidRPr="006679EA">
              <w:rPr>
                <w:rFonts w:ascii="Book Antiqua" w:eastAsia="MS ????" w:hAnsi="Book Antiqua" w:cs="Cambria"/>
                <w:bCs/>
                <w:spacing w:val="-2"/>
                <w:sz w:val="20"/>
                <w:szCs w:val="20"/>
              </w:rPr>
              <w:tab/>
              <w:t>Is the consumer’s primary care practitioner informed when another practitioner orders a medication change?</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2.3.4</w:t>
            </w:r>
            <w:r w:rsidRPr="006679EA">
              <w:rPr>
                <w:rFonts w:ascii="Book Antiqua" w:eastAsia="MS ????" w:hAnsi="Book Antiqua" w:cs="Cambria"/>
                <w:bCs/>
                <w:spacing w:val="-2"/>
                <w:sz w:val="20"/>
                <w:szCs w:val="20"/>
              </w:rPr>
              <w:tab/>
              <w:t>Are consumers and their caregivers trained in medication administration, if needed?</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pageBreakBefore/>
        <w:spacing w:before="0"/>
        <w:rPr>
          <w:rFonts w:eastAsia="MS ??"/>
        </w:rPr>
      </w:pPr>
      <w:r w:rsidRPr="00D030DE">
        <w:rPr>
          <w:rFonts w:eastAsia="MS ??"/>
        </w:rPr>
        <w:t>2.4</w:t>
      </w:r>
      <w:r w:rsidRPr="00D030DE">
        <w:rPr>
          <w:rFonts w:eastAsia="MS ??"/>
        </w:rPr>
        <w:tab/>
        <w:t xml:space="preserve">Communication, Equipment, </w:t>
      </w:r>
      <w:r>
        <w:rPr>
          <w:rFonts w:eastAsia="MS ??"/>
        </w:rPr>
        <w:t>a</w:t>
      </w:r>
      <w:r w:rsidR="005A4ABD">
        <w:rPr>
          <w:rFonts w:eastAsia="MS ??"/>
        </w:rPr>
        <w:t>nd Physical Access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2:  Highly Responsive Primary Care, 2.4 Communication, Equipment, and Physical Access"/>
      </w:tblPr>
      <w:tblGrid>
        <w:gridCol w:w="4878"/>
        <w:gridCol w:w="2214"/>
        <w:gridCol w:w="264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2.4.1</w:t>
            </w:r>
            <w:r w:rsidRPr="006679EA">
              <w:rPr>
                <w:rFonts w:ascii="Book Antiqua" w:eastAsia="MS ????" w:hAnsi="Book Antiqua" w:cs="Cambria"/>
                <w:bCs/>
                <w:spacing w:val="-2"/>
                <w:sz w:val="20"/>
                <w:szCs w:val="20"/>
              </w:rPr>
              <w:tab/>
              <w:t>Do consumers have access to the care and equipment they need to maximize health and independence, both in and outside the home?</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2.4.2</w:t>
            </w:r>
            <w:r w:rsidRPr="006679EA">
              <w:rPr>
                <w:rFonts w:ascii="Book Antiqua" w:eastAsia="MS ????" w:hAnsi="Book Antiqua" w:cs="Cambria"/>
                <w:bCs/>
                <w:spacing w:val="-2"/>
                <w:sz w:val="20"/>
                <w:szCs w:val="20"/>
              </w:rPr>
              <w:tab/>
              <w:t>Do all care settings offer communication access that includes translation?</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2.4.3</w:t>
            </w:r>
            <w:r w:rsidRPr="006679EA">
              <w:rPr>
                <w:rFonts w:ascii="Book Antiqua" w:eastAsia="MS ????" w:hAnsi="Book Antiqua" w:cs="Cambria"/>
                <w:bCs/>
                <w:spacing w:val="-2"/>
                <w:sz w:val="20"/>
                <w:szCs w:val="20"/>
              </w:rPr>
              <w:tab/>
              <w:t>Do organizations modify communications for consumers with cognitive impairments?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Height w:val="314"/>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2.4.4</w:t>
            </w:r>
            <w:r w:rsidRPr="006679EA">
              <w:rPr>
                <w:rFonts w:ascii="Book Antiqua" w:eastAsia="MS ????" w:hAnsi="Book Antiqua" w:cs="Cambria"/>
                <w:bCs/>
                <w:spacing w:val="-2"/>
                <w:sz w:val="20"/>
                <w:szCs w:val="20"/>
              </w:rPr>
              <w:tab/>
              <w:t>Are offices, including home- and community-based service settings arranged for easy access, minimal hazards, and as a pleasant, reassuring, age-friendly environment?</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2.4.5</w:t>
            </w:r>
            <w:r w:rsidRPr="006679EA">
              <w:rPr>
                <w:rFonts w:ascii="Book Antiqua" w:eastAsia="MS ????" w:hAnsi="Book Antiqua" w:cs="Cambria"/>
                <w:bCs/>
                <w:spacing w:val="-2"/>
                <w:sz w:val="20"/>
                <w:szCs w:val="20"/>
              </w:rPr>
              <w:tab/>
              <w:t>Do primary care practices and other care settings have adequate equipment (such as scales, exam tables, and lift equipment) to provide comprehensive care for members with physical and cognitive impairments?</w:t>
            </w:r>
          </w:p>
        </w:tc>
        <w:tc>
          <w:tcPr>
            <w:tcW w:w="2214"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46"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Pr="002E0432" w:rsidRDefault="00D030DE" w:rsidP="00D030DE">
      <w:pPr>
        <w:pStyle w:val="Heading2"/>
        <w:rPr>
          <w:rFonts w:eastAsia="MS ??"/>
        </w:rPr>
      </w:pPr>
      <w:r w:rsidRPr="00D030DE">
        <w:rPr>
          <w:rFonts w:eastAsia="MS ??"/>
        </w:rPr>
        <w:t>2.5</w:t>
      </w:r>
      <w:r w:rsidRPr="00D030DE">
        <w:rPr>
          <w:rFonts w:eastAsia="MS ??"/>
        </w:rPr>
        <w:tab/>
        <w:t xml:space="preserve">Preventive Care </w:t>
      </w:r>
      <w:r>
        <w:rPr>
          <w:rFonts w:eastAsia="MS ??"/>
        </w:rPr>
        <w:t>a</w:t>
      </w:r>
      <w:r w:rsidRPr="00D030DE">
        <w:rPr>
          <w:rFonts w:eastAsia="MS ??"/>
        </w:rPr>
        <w:t>nd Health Education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2:  Highly Responsive Primary Care, 2.5 Preventive Care and Health Education"/>
      </w:tblPr>
      <w:tblGrid>
        <w:gridCol w:w="4878"/>
        <w:gridCol w:w="2214"/>
        <w:gridCol w:w="2646"/>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BD0EEF" w:rsidRPr="006679EA" w:rsidTr="00D030DE">
        <w:trPr>
          <w:cantSplit/>
        </w:trPr>
        <w:tc>
          <w:tcPr>
            <w:tcW w:w="4878" w:type="dxa"/>
            <w:vAlign w:val="center"/>
          </w:tcPr>
          <w:p w:rsidR="00BD0EEF" w:rsidRPr="006679EA" w:rsidRDefault="00BD0EEF" w:rsidP="00E72147">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2.5.1</w:t>
            </w:r>
            <w:r w:rsidRPr="006679EA">
              <w:rPr>
                <w:rFonts w:ascii="Book Antiqua" w:eastAsia="MS ????" w:hAnsi="Book Antiqua" w:cs="Cambria"/>
                <w:bCs/>
                <w:spacing w:val="-2"/>
                <w:sz w:val="20"/>
                <w:szCs w:val="20"/>
              </w:rPr>
              <w:tab/>
              <w:t>Do primary care practitioners have guidance on how to tailor care protocols and registries for the management of chronic conditions for geriatric consumers?</w:t>
            </w:r>
          </w:p>
        </w:tc>
        <w:tc>
          <w:tcPr>
            <w:tcW w:w="2214" w:type="dxa"/>
            <w:vAlign w:val="center"/>
          </w:tcPr>
          <w:p w:rsidR="00BD0EEF" w:rsidRPr="006679EA" w:rsidRDefault="00BD0EEF" w:rsidP="006679EA">
            <w:pPr>
              <w:widowControl w:val="0"/>
              <w:rPr>
                <w:rFonts w:ascii="Book Antiqua" w:eastAsia="MS ??" w:hAnsi="Book Antiqua" w:cs="Calibri"/>
                <w:smallCaps/>
                <w:spacing w:val="-2"/>
                <w:sz w:val="20"/>
                <w:szCs w:val="20"/>
              </w:rPr>
            </w:pPr>
          </w:p>
        </w:tc>
        <w:tc>
          <w:tcPr>
            <w:tcW w:w="2646" w:type="dxa"/>
            <w:vAlign w:val="center"/>
          </w:tcPr>
          <w:p w:rsidR="00BD0EEF" w:rsidRPr="006679EA" w:rsidRDefault="00BD0EEF" w:rsidP="006679EA">
            <w:pPr>
              <w:widowControl w:val="0"/>
              <w:rPr>
                <w:rFonts w:ascii="Book Antiqua" w:eastAsia="MS ??" w:hAnsi="Book Antiqua" w:cs="Calibri"/>
                <w:smallCaps/>
                <w:spacing w:val="-2"/>
                <w:sz w:val="20"/>
                <w:szCs w:val="20"/>
              </w:rPr>
            </w:pPr>
          </w:p>
        </w:tc>
      </w:tr>
      <w:tr w:rsidR="00BD0EEF" w:rsidRPr="006679EA" w:rsidTr="00D030DE">
        <w:trPr>
          <w:cantSplit/>
        </w:trPr>
        <w:tc>
          <w:tcPr>
            <w:tcW w:w="4878" w:type="dxa"/>
            <w:vAlign w:val="center"/>
          </w:tcPr>
          <w:p w:rsidR="00BD0EEF" w:rsidRPr="006679EA" w:rsidRDefault="00897D55" w:rsidP="00E72147">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2.5.2</w:t>
            </w:r>
            <w:r w:rsidRPr="006679EA">
              <w:rPr>
                <w:rFonts w:ascii="Book Antiqua" w:eastAsia="MS ????" w:hAnsi="Book Antiqua" w:cs="Cambria"/>
                <w:bCs/>
                <w:spacing w:val="-2"/>
                <w:sz w:val="20"/>
                <w:szCs w:val="20"/>
              </w:rPr>
              <w:tab/>
              <w:t>Are consumers and caregivers/personal care assistants provided with health pro</w:t>
            </w:r>
            <w:r w:rsidR="002E0432">
              <w:rPr>
                <w:rFonts w:ascii="Book Antiqua" w:eastAsia="MS ????" w:hAnsi="Book Antiqua" w:cs="Cambria"/>
                <w:bCs/>
                <w:spacing w:val="-2"/>
                <w:sz w:val="20"/>
                <w:szCs w:val="20"/>
              </w:rPr>
              <w:t xml:space="preserve">motion and self-care education </w:t>
            </w:r>
            <w:r w:rsidRPr="006679EA">
              <w:rPr>
                <w:rFonts w:ascii="Book Antiqua" w:eastAsia="MS ????" w:hAnsi="Book Antiqua" w:cs="Cambria"/>
                <w:bCs/>
                <w:spacing w:val="-2"/>
                <w:sz w:val="20"/>
                <w:szCs w:val="20"/>
              </w:rPr>
              <w:t>specific to the consumer?</w:t>
            </w:r>
          </w:p>
        </w:tc>
        <w:tc>
          <w:tcPr>
            <w:tcW w:w="2214" w:type="dxa"/>
            <w:vAlign w:val="center"/>
          </w:tcPr>
          <w:p w:rsidR="00BD0EEF" w:rsidRPr="006679EA" w:rsidRDefault="00BD0EEF" w:rsidP="006679EA">
            <w:pPr>
              <w:widowControl w:val="0"/>
              <w:rPr>
                <w:rFonts w:ascii="Book Antiqua" w:eastAsia="MS ??" w:hAnsi="Book Antiqua" w:cs="Calibri"/>
                <w:smallCaps/>
                <w:spacing w:val="-2"/>
                <w:sz w:val="20"/>
                <w:szCs w:val="20"/>
              </w:rPr>
            </w:pPr>
          </w:p>
        </w:tc>
        <w:tc>
          <w:tcPr>
            <w:tcW w:w="2646" w:type="dxa"/>
            <w:vAlign w:val="center"/>
          </w:tcPr>
          <w:p w:rsidR="00BD0EEF" w:rsidRPr="006679EA" w:rsidRDefault="00BD0EEF" w:rsidP="006679EA">
            <w:pPr>
              <w:widowControl w:val="0"/>
              <w:rPr>
                <w:rFonts w:ascii="Book Antiqua" w:eastAsia="MS ??" w:hAnsi="Book Antiqua" w:cs="Calibri"/>
                <w:smallCaps/>
                <w:spacing w:val="-2"/>
                <w:sz w:val="20"/>
                <w:szCs w:val="20"/>
              </w:rPr>
            </w:pPr>
          </w:p>
        </w:tc>
      </w:tr>
      <w:tr w:rsidR="00BD0EEF" w:rsidRPr="006679EA" w:rsidTr="00D030DE">
        <w:trPr>
          <w:cantSplit/>
        </w:trPr>
        <w:tc>
          <w:tcPr>
            <w:tcW w:w="4878" w:type="dxa"/>
            <w:vAlign w:val="center"/>
          </w:tcPr>
          <w:p w:rsidR="00BD0EEF" w:rsidRPr="006679EA" w:rsidRDefault="00897D55" w:rsidP="00E72147">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2.5.3</w:t>
            </w:r>
            <w:r w:rsidRPr="006679EA">
              <w:rPr>
                <w:rFonts w:ascii="Book Antiqua" w:eastAsia="MS ????" w:hAnsi="Book Antiqua" w:cs="Cambria"/>
                <w:bCs/>
                <w:spacing w:val="-2"/>
                <w:sz w:val="20"/>
                <w:szCs w:val="20"/>
              </w:rPr>
              <w:tab/>
              <w:t>Do primary care practitioners follow clinical protocols for the identification and treatment of key secondary conditions related to functional capacity in the older adult?</w:t>
            </w:r>
          </w:p>
        </w:tc>
        <w:tc>
          <w:tcPr>
            <w:tcW w:w="2214" w:type="dxa"/>
            <w:vAlign w:val="center"/>
          </w:tcPr>
          <w:p w:rsidR="00BD0EEF" w:rsidRPr="006679EA" w:rsidRDefault="00BD0EEF" w:rsidP="006679EA">
            <w:pPr>
              <w:widowControl w:val="0"/>
              <w:rPr>
                <w:rFonts w:ascii="Book Antiqua" w:eastAsia="MS ??" w:hAnsi="Book Antiqua" w:cs="Calibri"/>
                <w:smallCaps/>
                <w:spacing w:val="-2"/>
                <w:sz w:val="20"/>
                <w:szCs w:val="20"/>
              </w:rPr>
            </w:pPr>
          </w:p>
        </w:tc>
        <w:tc>
          <w:tcPr>
            <w:tcW w:w="2646" w:type="dxa"/>
            <w:vAlign w:val="center"/>
          </w:tcPr>
          <w:p w:rsidR="00BD0EEF" w:rsidRPr="006679EA" w:rsidRDefault="00BD0EEF" w:rsidP="006679EA">
            <w:pPr>
              <w:widowControl w:val="0"/>
              <w:rPr>
                <w:rFonts w:ascii="Book Antiqua" w:eastAsia="MS ??" w:hAnsi="Book Antiqua" w:cs="Calibri"/>
                <w:smallCaps/>
                <w:spacing w:val="-2"/>
                <w:sz w:val="20"/>
                <w:szCs w:val="20"/>
              </w:rPr>
            </w:pPr>
          </w:p>
        </w:tc>
      </w:tr>
    </w:tbl>
    <w:p w:rsidR="0037194A" w:rsidRDefault="0037194A">
      <w:pPr>
        <w:rPr>
          <w:rFonts w:ascii="Book Antiqua" w:eastAsia="MS ??" w:hAnsi="Book Antiqua" w:cs="Calibri"/>
          <w:b/>
          <w:bCs/>
          <w:smallCaps/>
          <w:color w:val="00267F"/>
          <w:spacing w:val="-2"/>
          <w:sz w:val="28"/>
        </w:rPr>
      </w:pPr>
      <w:r>
        <w:rPr>
          <w:rFonts w:ascii="Book Antiqua" w:eastAsia="MS ??" w:hAnsi="Book Antiqua" w:cs="Calibri"/>
          <w:b/>
          <w:bCs/>
          <w:smallCaps/>
          <w:color w:val="00267F"/>
          <w:spacing w:val="-2"/>
          <w:sz w:val="28"/>
        </w:rPr>
        <w:br w:type="page"/>
      </w:r>
    </w:p>
    <w:p w:rsidR="0037194A" w:rsidRDefault="00D030DE" w:rsidP="00727E1C">
      <w:pPr>
        <w:pStyle w:val="Heading1"/>
        <w:rPr>
          <w:rFonts w:eastAsia="MS ??"/>
        </w:rPr>
      </w:pPr>
      <w:r>
        <w:rPr>
          <w:rFonts w:eastAsia="MS ??"/>
        </w:rPr>
        <w:t>Domain 3:</w:t>
      </w:r>
      <w:r>
        <w:rPr>
          <w:rFonts w:eastAsia="MS ??"/>
        </w:rPr>
        <w:tab/>
      </w:r>
      <w:r w:rsidR="0037194A" w:rsidRPr="002E0432">
        <w:rPr>
          <w:rFonts w:eastAsia="MS ??"/>
        </w:rPr>
        <w:t>C</w:t>
      </w:r>
      <w:r w:rsidR="000D0B3D" w:rsidRPr="002E0432">
        <w:rPr>
          <w:rFonts w:eastAsia="MS ??"/>
        </w:rPr>
        <w:t>omprehensive Long-Term Services and Supports</w:t>
      </w:r>
    </w:p>
    <w:p w:rsidR="00D030DE" w:rsidRDefault="00D030DE" w:rsidP="00D030DE">
      <w:pPr>
        <w:pStyle w:val="Heading2"/>
        <w:spacing w:before="0"/>
        <w:rPr>
          <w:rFonts w:eastAsia="MS ??"/>
        </w:rPr>
      </w:pPr>
      <w:r w:rsidRPr="00D030DE">
        <w:rPr>
          <w:rFonts w:eastAsia="MS ??"/>
        </w:rPr>
        <w:t>3.1</w:t>
      </w:r>
      <w:r w:rsidRPr="00D030DE">
        <w:rPr>
          <w:rFonts w:eastAsia="MS ??"/>
        </w:rPr>
        <w:tab/>
        <w:t xml:space="preserve">Mobility Equipment, Home Modifications, </w:t>
      </w:r>
      <w:r>
        <w:rPr>
          <w:rFonts w:eastAsia="MS ??"/>
        </w:rPr>
        <w:t>a</w:t>
      </w:r>
      <w:r w:rsidRPr="00D030DE">
        <w:rPr>
          <w:rFonts w:eastAsia="MS ??"/>
        </w:rPr>
        <w:t>nd Supplies</w:t>
      </w:r>
    </w:p>
    <w:tbl>
      <w:tblPr>
        <w:tblStyle w:val="TableGrid2"/>
        <w:tblW w:w="9738" w:type="dxa"/>
        <w:tblLook w:val="04A0" w:firstRow="1" w:lastRow="0" w:firstColumn="1" w:lastColumn="0" w:noHBand="0" w:noVBand="1"/>
        <w:tblDescription w:val="This table has questions that pertain to Domain 3:  Comprehensive Long-Term Services and Supports, 3.1 Mobility Equipment, Home Modifications, and Supplies&#10;"/>
      </w:tblPr>
      <w:tblGrid>
        <w:gridCol w:w="4878"/>
        <w:gridCol w:w="2250"/>
        <w:gridCol w:w="2610"/>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3.1.1</w:t>
            </w:r>
            <w:r w:rsidRPr="006679EA">
              <w:rPr>
                <w:rFonts w:ascii="Book Antiqua" w:eastAsia="MS ????" w:hAnsi="Book Antiqua" w:cs="Cambria"/>
                <w:spacing w:val="-2"/>
                <w:sz w:val="20"/>
                <w:szCs w:val="20"/>
              </w:rPr>
              <w:tab/>
              <w:t>Are consumers assessed to identify services and equipment needs to maximize independence?</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3.1.2</w:t>
            </w:r>
            <w:r w:rsidRPr="006679EA">
              <w:rPr>
                <w:rFonts w:ascii="Book Antiqua" w:eastAsia="MS ????" w:hAnsi="Book Antiqua" w:cs="Cambria"/>
                <w:bCs/>
                <w:spacing w:val="-2"/>
                <w:sz w:val="20"/>
                <w:szCs w:val="20"/>
              </w:rPr>
              <w:tab/>
              <w:t>Do consumers have access to customized equipment and equipment modifications based on their needs and goals as described in the IPC?</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3.1.3</w:t>
            </w:r>
            <w:r w:rsidRPr="006679EA">
              <w:rPr>
                <w:rFonts w:ascii="Book Antiqua" w:eastAsia="MS ????" w:hAnsi="Book Antiqua" w:cs="Cambria"/>
                <w:bCs/>
                <w:spacing w:val="-2"/>
                <w:sz w:val="20"/>
                <w:szCs w:val="20"/>
              </w:rPr>
              <w:tab/>
              <w:t>Is there an adequate network of equipment providers to ensure choice and timely access to needed services?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3.1.4</w:t>
            </w:r>
            <w:r w:rsidRPr="006679EA">
              <w:rPr>
                <w:rFonts w:ascii="Book Antiqua" w:eastAsia="MS ????" w:hAnsi="Book Antiqua" w:cs="Cambria"/>
                <w:bCs/>
                <w:spacing w:val="-2"/>
                <w:sz w:val="20"/>
                <w:szCs w:val="20"/>
              </w:rPr>
              <w:tab/>
              <w:t>Are repair requests for durable medical equipment addressed in a timely manner so as not to disrupt or limit the daily functioning of the consumer?</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3.1.5</w:t>
            </w:r>
            <w:r w:rsidRPr="006679EA">
              <w:rPr>
                <w:rFonts w:ascii="Book Antiqua" w:eastAsia="MS ????" w:hAnsi="Book Antiqua" w:cs="Cambria"/>
                <w:bCs/>
                <w:spacing w:val="-2"/>
                <w:sz w:val="20"/>
                <w:szCs w:val="20"/>
              </w:rPr>
              <w:tab/>
              <w:t>Are back-up options in place for all essential equipment and supplies?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3.1.6</w:t>
            </w:r>
            <w:r w:rsidRPr="006679EA">
              <w:rPr>
                <w:rFonts w:ascii="Book Antiqua" w:eastAsia="MS ????" w:hAnsi="Book Antiqua" w:cs="Cambria"/>
                <w:bCs/>
                <w:spacing w:val="-2"/>
                <w:sz w:val="20"/>
                <w:szCs w:val="20"/>
              </w:rPr>
              <w:tab/>
              <w:t>Is there a review process for consideration of assistive technology and other equipment that may facilitate functional independence but is not a specified benefit or service?</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3.2</w:t>
      </w:r>
      <w:r w:rsidRPr="00D030DE">
        <w:rPr>
          <w:rFonts w:eastAsia="MS ??"/>
        </w:rPr>
        <w:tab/>
        <w:t>Personal Assistance</w:t>
      </w:r>
    </w:p>
    <w:tbl>
      <w:tblPr>
        <w:tblStyle w:val="TableGrid2"/>
        <w:tblW w:w="9738" w:type="dxa"/>
        <w:tblLook w:val="04A0" w:firstRow="1" w:lastRow="0" w:firstColumn="1" w:lastColumn="0" w:noHBand="0" w:noVBand="1"/>
        <w:tblDescription w:val="This table has questions that pertain to Domain 3:  Comprehensive Long-Term Services and Supports, 3.2 Personal Assistance"/>
      </w:tblPr>
      <w:tblGrid>
        <w:gridCol w:w="4878"/>
        <w:gridCol w:w="2250"/>
        <w:gridCol w:w="2610"/>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3.2.1</w:t>
            </w:r>
            <w:r w:rsidRPr="006679EA">
              <w:rPr>
                <w:rFonts w:ascii="Book Antiqua" w:eastAsia="MS ????" w:hAnsi="Book Antiqua" w:cs="Cambria"/>
                <w:bCs/>
                <w:spacing w:val="-2"/>
                <w:sz w:val="20"/>
                <w:szCs w:val="20"/>
              </w:rPr>
              <w:tab/>
              <w:t>Are consumers given a choice between an agency model and a self-directed model for their personal care attendants?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3.2.2</w:t>
            </w:r>
            <w:r w:rsidRPr="006679EA">
              <w:rPr>
                <w:rFonts w:ascii="Book Antiqua" w:eastAsia="MS ????" w:hAnsi="Book Antiqua" w:cs="Cambria"/>
                <w:bCs/>
                <w:spacing w:val="-2"/>
                <w:sz w:val="20"/>
                <w:szCs w:val="20"/>
              </w:rPr>
              <w:tab/>
              <w:t>Are consumers able to maintain access to existing or preferred PCAs?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3.2.3</w:t>
            </w:r>
            <w:r w:rsidRPr="006679EA">
              <w:rPr>
                <w:rFonts w:ascii="Book Antiqua" w:eastAsia="MS ????" w:hAnsi="Book Antiqua" w:cs="Cambria"/>
                <w:bCs/>
                <w:spacing w:val="-2"/>
                <w:sz w:val="20"/>
                <w:szCs w:val="20"/>
              </w:rPr>
              <w:tab/>
              <w:t>Is there a specified transition plan developed prior to a change in PCA service or model of care?</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3.2.4</w:t>
            </w:r>
            <w:r w:rsidRPr="006679EA">
              <w:rPr>
                <w:rFonts w:ascii="Book Antiqua" w:eastAsia="MS ????" w:hAnsi="Book Antiqua" w:cs="Cambria"/>
                <w:bCs/>
                <w:spacing w:val="-2"/>
                <w:sz w:val="20"/>
                <w:szCs w:val="20"/>
              </w:rPr>
              <w:tab/>
              <w:t>Is the consumer’s IPC available to the PCA (and other caregivers, as appropriate) to direct the delivery of his or her personal care on a daily basis?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3.2.5</w:t>
            </w:r>
            <w:r w:rsidRPr="006679EA">
              <w:rPr>
                <w:rFonts w:ascii="Book Antiqua" w:eastAsia="MS ????" w:hAnsi="Book Antiqua" w:cs="Cambria"/>
                <w:bCs/>
                <w:spacing w:val="-2"/>
                <w:sz w:val="20"/>
                <w:szCs w:val="20"/>
              </w:rPr>
              <w:tab/>
              <w:t>Are all home-based PCAs trained to deliver services and supports based on the consumer’s IPC?</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3.2.6</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trained to watch for and report problematic home-based relationships, such as abuse, neglect, and exploitation?</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3.2.7</w:t>
            </w:r>
            <w:r w:rsidRPr="006679EA">
              <w:rPr>
                <w:rFonts w:ascii="Book Antiqua" w:eastAsia="MS ????" w:hAnsi="Book Antiqua" w:cs="Cambria"/>
                <w:bCs/>
                <w:spacing w:val="-2"/>
                <w:sz w:val="20"/>
                <w:szCs w:val="20"/>
              </w:rPr>
              <w:tab/>
              <w:t>Do all consumers have emergency and caregiver back-up plans?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3.3</w:t>
      </w:r>
      <w:r w:rsidRPr="00D030DE">
        <w:rPr>
          <w:rFonts w:eastAsia="MS ??"/>
        </w:rPr>
        <w:tab/>
        <w:t xml:space="preserve">Self-Directed Option </w:t>
      </w:r>
      <w:r>
        <w:rPr>
          <w:rFonts w:eastAsia="MS ??"/>
        </w:rPr>
        <w:t>f</w:t>
      </w:r>
      <w:r w:rsidRPr="00D030DE">
        <w:rPr>
          <w:rFonts w:eastAsia="MS ??"/>
        </w:rPr>
        <w:t xml:space="preserve">or Home- </w:t>
      </w:r>
      <w:r>
        <w:rPr>
          <w:rFonts w:eastAsia="MS ??"/>
        </w:rPr>
        <w:t>a</w:t>
      </w:r>
      <w:r w:rsidRPr="00D030DE">
        <w:rPr>
          <w:rFonts w:eastAsia="MS ??"/>
        </w:rPr>
        <w:t>nd Community-Based Services</w:t>
      </w:r>
    </w:p>
    <w:tbl>
      <w:tblPr>
        <w:tblStyle w:val="TableGrid2"/>
        <w:tblW w:w="9738" w:type="dxa"/>
        <w:tblLook w:val="04A0" w:firstRow="1" w:lastRow="0" w:firstColumn="1" w:lastColumn="0" w:noHBand="0" w:noVBand="1"/>
        <w:tblDescription w:val="This table has questions that pertain to Domain 3:  Comprehensive Long-Term Services and Supports, 3.3 Self-Directed Option for Home- and Community-Based Services"/>
      </w:tblPr>
      <w:tblGrid>
        <w:gridCol w:w="4878"/>
        <w:gridCol w:w="2250"/>
        <w:gridCol w:w="2610"/>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3.3.1</w:t>
            </w:r>
            <w:r w:rsidRPr="006679EA">
              <w:rPr>
                <w:rFonts w:ascii="Book Antiqua" w:eastAsia="MS ????" w:hAnsi="Book Antiqua" w:cs="Cambria"/>
                <w:bCs/>
                <w:spacing w:val="-2"/>
                <w:sz w:val="20"/>
                <w:szCs w:val="20"/>
              </w:rPr>
              <w:tab/>
              <w:t>Does the self-directed option allow consumers to be responsible for hiring, firing, training, and supervising personal assistance workers?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3.3.2</w:t>
            </w:r>
            <w:r w:rsidRPr="006679EA">
              <w:rPr>
                <w:rFonts w:ascii="Book Antiqua" w:eastAsia="MS ????" w:hAnsi="Book Antiqua" w:cs="Cambria"/>
                <w:bCs/>
                <w:spacing w:val="-2"/>
                <w:sz w:val="20"/>
                <w:szCs w:val="20"/>
              </w:rPr>
              <w:tab/>
              <w:t>Is skills training and support provided for consumers choosing the self-directed option?</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3.3.3</w:t>
            </w:r>
            <w:r w:rsidRPr="006679EA">
              <w:rPr>
                <w:rFonts w:ascii="Book Antiqua" w:eastAsia="MS ????" w:hAnsi="Book Antiqua" w:cs="Cambria"/>
                <w:bCs/>
                <w:spacing w:val="-2"/>
                <w:sz w:val="20"/>
                <w:szCs w:val="20"/>
              </w:rPr>
              <w:tab/>
              <w:t>Is a fiscal intermediary or co-employment agency available to support the employer functions of the consumer, if needed?</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3.4</w:t>
      </w:r>
      <w:r w:rsidRPr="00D030DE">
        <w:rPr>
          <w:rFonts w:eastAsia="MS ??"/>
        </w:rPr>
        <w:tab/>
        <w:t>Agency Model</w:t>
      </w:r>
    </w:p>
    <w:tbl>
      <w:tblPr>
        <w:tblStyle w:val="TableGrid2"/>
        <w:tblW w:w="9738" w:type="dxa"/>
        <w:tblLook w:val="04A0" w:firstRow="1" w:lastRow="0" w:firstColumn="1" w:lastColumn="0" w:noHBand="0" w:noVBand="1"/>
        <w:tblDescription w:val="This table has questions that pertain to Domain 3:  Comprehensive Long-Term Services and Supports, 3.4 Agency Model"/>
      </w:tblPr>
      <w:tblGrid>
        <w:gridCol w:w="4878"/>
        <w:gridCol w:w="2250"/>
        <w:gridCol w:w="2610"/>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3.4.1</w:t>
            </w:r>
            <w:r w:rsidRPr="006679EA">
              <w:rPr>
                <w:rFonts w:ascii="Book Antiqua" w:eastAsia="MS ????" w:hAnsi="Book Antiqua" w:cs="Cambria"/>
                <w:bCs/>
                <w:spacing w:val="-2"/>
                <w:sz w:val="20"/>
                <w:szCs w:val="20"/>
              </w:rPr>
              <w:tab/>
              <w:t>Does the consumer have a reasonable choice of providers?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3.4.2</w:t>
            </w:r>
            <w:r w:rsidRPr="006679EA">
              <w:rPr>
                <w:rFonts w:ascii="Book Antiqua" w:eastAsia="MS ????" w:hAnsi="Book Antiqua" w:cs="Cambria"/>
                <w:bCs/>
                <w:spacing w:val="-2"/>
                <w:sz w:val="20"/>
                <w:szCs w:val="20"/>
              </w:rPr>
              <w:tab/>
              <w:t>Does the agency assume responsibility for orientation, training, and ongoing supervision of a consumer’s direct care workers?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3.4.3</w:t>
            </w:r>
            <w:r w:rsidRPr="006679EA">
              <w:rPr>
                <w:rFonts w:ascii="Book Antiqua" w:eastAsia="MS ????" w:hAnsi="Book Antiqua" w:cs="Cambria"/>
                <w:bCs/>
                <w:spacing w:val="-2"/>
                <w:sz w:val="20"/>
                <w:szCs w:val="20"/>
              </w:rPr>
              <w:tab/>
              <w:t>If they are not directly involved with the IDT, Aare direct care workers and/or their supervisors included in interactions with the IDT?</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spacing w:before="0"/>
        <w:rPr>
          <w:rFonts w:eastAsia="MS ??"/>
        </w:rPr>
      </w:pPr>
      <w:r w:rsidRPr="00D030DE">
        <w:rPr>
          <w:rFonts w:eastAsia="MS ??"/>
        </w:rPr>
        <w:t>3.5</w:t>
      </w:r>
      <w:r w:rsidRPr="00D030DE">
        <w:rPr>
          <w:rFonts w:eastAsia="MS ??"/>
        </w:rPr>
        <w:tab/>
        <w:t>Transportation Services</w:t>
      </w:r>
    </w:p>
    <w:tbl>
      <w:tblPr>
        <w:tblStyle w:val="TableGrid2"/>
        <w:tblW w:w="9738" w:type="dxa"/>
        <w:tblLook w:val="04A0" w:firstRow="1" w:lastRow="0" w:firstColumn="1" w:lastColumn="0" w:noHBand="0" w:noVBand="1"/>
        <w:tblDescription w:val="This table has questions that pertain to Domain 3:  Comprehensive Long-Term Services and Supports, 3.5 Transportation Services"/>
      </w:tblPr>
      <w:tblGrid>
        <w:gridCol w:w="4878"/>
        <w:gridCol w:w="2250"/>
        <w:gridCol w:w="2610"/>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3.5.1</w:t>
            </w:r>
            <w:r w:rsidRPr="006679EA">
              <w:rPr>
                <w:rFonts w:ascii="Book Antiqua" w:eastAsia="MS ????" w:hAnsi="Book Antiqua" w:cs="Cambria"/>
                <w:bCs/>
                <w:spacing w:val="-2"/>
                <w:sz w:val="20"/>
                <w:szCs w:val="20"/>
              </w:rPr>
              <w:tab/>
              <w:t>Are the specific transportation requirements of the consumer identified as part of the initial assessment?</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3.5.2</w:t>
            </w:r>
            <w:r w:rsidRPr="006679EA">
              <w:rPr>
                <w:rFonts w:ascii="Book Antiqua" w:eastAsia="MS ????" w:hAnsi="Book Antiqua" w:cs="Cambria"/>
                <w:bCs/>
                <w:spacing w:val="-2"/>
                <w:sz w:val="20"/>
                <w:szCs w:val="20"/>
              </w:rPr>
              <w:tab/>
              <w:t>Is there a range of types of transportation services available to consumers?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3.5.3</w:t>
            </w:r>
            <w:r w:rsidRPr="006679EA">
              <w:rPr>
                <w:rFonts w:ascii="Book Antiqua" w:eastAsia="MS ????" w:hAnsi="Book Antiqua" w:cs="Cambria"/>
                <w:bCs/>
                <w:spacing w:val="-2"/>
                <w:sz w:val="20"/>
                <w:szCs w:val="20"/>
              </w:rPr>
              <w:tab/>
              <w:t>Is transportation scheduling support available for consumers?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3.5.4</w:t>
            </w:r>
            <w:r w:rsidRPr="006679EA">
              <w:rPr>
                <w:rFonts w:ascii="Book Antiqua" w:eastAsia="MS ????" w:hAnsi="Book Antiqua" w:cs="Cambria"/>
                <w:bCs/>
                <w:spacing w:val="-2"/>
                <w:sz w:val="20"/>
                <w:szCs w:val="20"/>
              </w:rPr>
              <w:tab/>
              <w:t>Are transportation services available 24/7 to meet urgent needs?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3.5.5 Are there clear policies regarding transportation assistance to health care appointments?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3.5.6</w:t>
            </w:r>
            <w:r w:rsidRPr="006679EA">
              <w:rPr>
                <w:rFonts w:ascii="Book Antiqua" w:eastAsia="MS ????" w:hAnsi="Book Antiqua" w:cs="Cambria"/>
                <w:bCs/>
                <w:spacing w:val="-2"/>
                <w:sz w:val="20"/>
                <w:szCs w:val="20"/>
              </w:rPr>
              <w:tab/>
              <w:t>Are transportation providers monitored to ensure safe, dependable, and accessible service?</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Default="00D030DE" w:rsidP="00D030DE">
      <w:pPr>
        <w:pStyle w:val="Heading2"/>
        <w:rPr>
          <w:rFonts w:eastAsia="MS ??"/>
        </w:rPr>
      </w:pPr>
      <w:r w:rsidRPr="00D030DE">
        <w:rPr>
          <w:rFonts w:eastAsia="MS ??"/>
        </w:rPr>
        <w:t>3.6</w:t>
      </w:r>
      <w:r w:rsidRPr="00D030DE">
        <w:rPr>
          <w:rFonts w:eastAsia="MS ??"/>
        </w:rPr>
        <w:tab/>
        <w:t xml:space="preserve">Network Composition </w:t>
      </w:r>
      <w:r>
        <w:rPr>
          <w:rFonts w:eastAsia="MS ??"/>
        </w:rPr>
        <w:t>a</w:t>
      </w:r>
      <w:r w:rsidRPr="00D030DE">
        <w:rPr>
          <w:rFonts w:eastAsia="MS ??"/>
        </w:rPr>
        <w:t>nd Capacity</w:t>
      </w:r>
    </w:p>
    <w:tbl>
      <w:tblPr>
        <w:tblStyle w:val="TableGrid2"/>
        <w:tblW w:w="9738" w:type="dxa"/>
        <w:tblLook w:val="04A0" w:firstRow="1" w:lastRow="0" w:firstColumn="1" w:lastColumn="0" w:noHBand="0" w:noVBand="1"/>
        <w:tblDescription w:val="This table has questions that pertain to Domain 3:  Comprehensive Long-Term Services and Supports, 3.6 Network Composition and Capacity"/>
      </w:tblPr>
      <w:tblGrid>
        <w:gridCol w:w="4878"/>
        <w:gridCol w:w="2250"/>
        <w:gridCol w:w="2610"/>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3.6.1</w:t>
            </w:r>
            <w:r w:rsidRPr="006679EA">
              <w:rPr>
                <w:rFonts w:ascii="Book Antiqua" w:eastAsia="MS ????" w:hAnsi="Book Antiqua" w:cs="Cambria"/>
                <w:bCs/>
                <w:spacing w:val="-2"/>
                <w:sz w:val="20"/>
                <w:szCs w:val="20"/>
              </w:rPr>
              <w:tab/>
              <w:t>Are individual home- and community-based supports identified as a part of the assessment and care planning process?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3.6.2</w:t>
            </w:r>
            <w:r w:rsidRPr="006679EA">
              <w:rPr>
                <w:rFonts w:ascii="Book Antiqua" w:eastAsia="MS ????" w:hAnsi="Book Antiqua" w:cs="Cambria"/>
                <w:bCs/>
                <w:spacing w:val="-2"/>
                <w:sz w:val="20"/>
                <w:szCs w:val="20"/>
              </w:rPr>
              <w:tab/>
              <w:t>Are consumers able to maintain existing relationships with LTSS providers?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3.6.3</w:t>
            </w:r>
            <w:r w:rsidRPr="006679EA">
              <w:rPr>
                <w:rFonts w:ascii="Book Antiqua" w:eastAsia="MS ????" w:hAnsi="Book Antiqua" w:cs="Cambria"/>
                <w:bCs/>
                <w:spacing w:val="-2"/>
                <w:sz w:val="20"/>
                <w:szCs w:val="20"/>
              </w:rPr>
              <w:tab/>
              <w:t>Is there adequate network capacity to ensure the consumer has access to the full range of needed LTSS?</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r w:rsidR="00D030DE" w:rsidRPr="006679EA" w:rsidTr="00D030DE">
        <w:trPr>
          <w:cantSplit/>
        </w:trPr>
        <w:tc>
          <w:tcPr>
            <w:tcW w:w="4878" w:type="dxa"/>
            <w:vAlign w:val="center"/>
          </w:tcPr>
          <w:p w:rsidR="00D030DE" w:rsidRPr="006679EA" w:rsidRDefault="00D030DE" w:rsidP="00D030DE">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3.6.4</w:t>
            </w:r>
            <w:r w:rsidRPr="006679EA">
              <w:rPr>
                <w:rFonts w:ascii="Book Antiqua" w:eastAsia="MS ????" w:hAnsi="Book Antiqua" w:cs="Cambria"/>
                <w:bCs/>
                <w:spacing w:val="-2"/>
                <w:sz w:val="20"/>
                <w:szCs w:val="20"/>
              </w:rPr>
              <w:tab/>
              <w:t>Is there capacity to develop specific services not readily available in the community that are specified in the individual’s IPC?</w:t>
            </w:r>
          </w:p>
        </w:tc>
        <w:tc>
          <w:tcPr>
            <w:tcW w:w="2250" w:type="dxa"/>
            <w:vAlign w:val="center"/>
          </w:tcPr>
          <w:p w:rsidR="00D030DE" w:rsidRPr="006679EA" w:rsidRDefault="00D030DE" w:rsidP="00D030DE">
            <w:pPr>
              <w:widowControl w:val="0"/>
              <w:rPr>
                <w:rFonts w:ascii="Book Antiqua" w:eastAsia="MS ??" w:hAnsi="Book Antiqua" w:cs="Calibri"/>
                <w:smallCaps/>
                <w:spacing w:val="-2"/>
                <w:sz w:val="20"/>
                <w:szCs w:val="20"/>
              </w:rPr>
            </w:pPr>
          </w:p>
        </w:tc>
        <w:tc>
          <w:tcPr>
            <w:tcW w:w="2610" w:type="dxa"/>
            <w:vAlign w:val="center"/>
          </w:tcPr>
          <w:p w:rsidR="00D030DE" w:rsidRPr="006679EA" w:rsidRDefault="00D030DE" w:rsidP="00D030DE">
            <w:pPr>
              <w:widowControl w:val="0"/>
              <w:rPr>
                <w:rFonts w:ascii="Book Antiqua" w:eastAsia="MS ??" w:hAnsi="Book Antiqua" w:cs="Calibri"/>
                <w:smallCaps/>
                <w:spacing w:val="-2"/>
                <w:sz w:val="20"/>
                <w:szCs w:val="20"/>
              </w:rPr>
            </w:pPr>
          </w:p>
        </w:tc>
      </w:tr>
    </w:tbl>
    <w:p w:rsidR="00D030DE" w:rsidRPr="002E0432" w:rsidRDefault="00D030DE" w:rsidP="00D030DE">
      <w:pPr>
        <w:pStyle w:val="Heading2"/>
        <w:rPr>
          <w:rFonts w:eastAsia="MS ??"/>
        </w:rPr>
      </w:pPr>
      <w:r w:rsidRPr="00D030DE">
        <w:rPr>
          <w:rFonts w:eastAsia="MS ??"/>
        </w:rPr>
        <w:t>3.7</w:t>
      </w:r>
      <w:r w:rsidRPr="00D030DE">
        <w:rPr>
          <w:rFonts w:eastAsia="MS ??"/>
        </w:rPr>
        <w:tab/>
        <w:t>Employment Supports</w:t>
      </w:r>
    </w:p>
    <w:tbl>
      <w:tblPr>
        <w:tblStyle w:val="TableGrid2"/>
        <w:tblW w:w="9738" w:type="dxa"/>
        <w:tblLook w:val="04A0" w:firstRow="1" w:lastRow="0" w:firstColumn="1" w:lastColumn="0" w:noHBand="0" w:noVBand="1"/>
        <w:tblDescription w:val="This table has questions that pertain to Domain 3:  Comprehensive Long-Term Services and Supports, 3.7 Employment Supports"/>
      </w:tblPr>
      <w:tblGrid>
        <w:gridCol w:w="4878"/>
        <w:gridCol w:w="2250"/>
        <w:gridCol w:w="2610"/>
      </w:tblGrid>
      <w:tr w:rsidR="00D030DE" w:rsidRPr="006679EA" w:rsidTr="00D030DE">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37194A" w:rsidRPr="006679EA" w:rsidTr="00D030DE">
        <w:trPr>
          <w:cantSplit/>
        </w:trPr>
        <w:tc>
          <w:tcPr>
            <w:tcW w:w="4878" w:type="dxa"/>
            <w:vAlign w:val="center"/>
          </w:tcPr>
          <w:p w:rsidR="0037194A" w:rsidRPr="006679EA" w:rsidRDefault="0037194A" w:rsidP="00E72147">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3.7.1</w:t>
            </w:r>
            <w:r w:rsidRPr="006679EA">
              <w:rPr>
                <w:rFonts w:ascii="Book Antiqua" w:eastAsia="MS ????" w:hAnsi="Book Antiqua" w:cs="Cambria"/>
                <w:bCs/>
                <w:spacing w:val="-2"/>
                <w:sz w:val="20"/>
                <w:szCs w:val="20"/>
              </w:rPr>
              <w:tab/>
              <w:t>Do employed consumers (or those desiring to be employed) have access to services and supports needed to maintain employment?</w:t>
            </w:r>
          </w:p>
        </w:tc>
        <w:tc>
          <w:tcPr>
            <w:tcW w:w="2250" w:type="dxa"/>
            <w:vAlign w:val="center"/>
          </w:tcPr>
          <w:p w:rsidR="0037194A" w:rsidRPr="006679EA" w:rsidRDefault="0037194A" w:rsidP="006679EA">
            <w:pPr>
              <w:widowControl w:val="0"/>
              <w:rPr>
                <w:rFonts w:ascii="Book Antiqua" w:eastAsia="MS ??" w:hAnsi="Book Antiqua" w:cs="Calibri"/>
                <w:smallCaps/>
                <w:spacing w:val="-2"/>
                <w:sz w:val="20"/>
                <w:szCs w:val="20"/>
              </w:rPr>
            </w:pPr>
          </w:p>
        </w:tc>
        <w:tc>
          <w:tcPr>
            <w:tcW w:w="2610" w:type="dxa"/>
            <w:vAlign w:val="center"/>
          </w:tcPr>
          <w:p w:rsidR="0037194A" w:rsidRPr="006679EA" w:rsidRDefault="0037194A" w:rsidP="006679EA">
            <w:pPr>
              <w:widowControl w:val="0"/>
              <w:rPr>
                <w:rFonts w:ascii="Book Antiqua" w:eastAsia="MS ??" w:hAnsi="Book Antiqua" w:cs="Calibri"/>
                <w:smallCaps/>
                <w:spacing w:val="-2"/>
                <w:sz w:val="20"/>
                <w:szCs w:val="20"/>
              </w:rPr>
            </w:pPr>
          </w:p>
        </w:tc>
      </w:tr>
    </w:tbl>
    <w:p w:rsidR="0037194A" w:rsidRDefault="00D030DE" w:rsidP="00727E1C">
      <w:pPr>
        <w:pStyle w:val="Heading1"/>
        <w:rPr>
          <w:rFonts w:eastAsia="MS ??"/>
        </w:rPr>
      </w:pPr>
      <w:r>
        <w:rPr>
          <w:rFonts w:eastAsia="MS ??"/>
        </w:rPr>
        <w:t>Domain 4:</w:t>
      </w:r>
      <w:r>
        <w:rPr>
          <w:rFonts w:eastAsia="MS ??"/>
        </w:rPr>
        <w:tab/>
      </w:r>
      <w:r w:rsidR="0037194A" w:rsidRPr="002E0432">
        <w:rPr>
          <w:rFonts w:eastAsia="MS ??"/>
        </w:rPr>
        <w:t>A</w:t>
      </w:r>
      <w:r w:rsidR="000D0B3D" w:rsidRPr="002E0432">
        <w:rPr>
          <w:rFonts w:eastAsia="MS ??"/>
        </w:rPr>
        <w:t>lternate Living Arrangements</w:t>
      </w:r>
    </w:p>
    <w:p w:rsidR="00D030DE" w:rsidRPr="005A4ABD" w:rsidRDefault="00D030DE" w:rsidP="005A4ABD">
      <w:pPr>
        <w:pStyle w:val="Heading2"/>
        <w:spacing w:before="0"/>
      </w:pPr>
      <w:r w:rsidRPr="005A4ABD">
        <w:t>4.1</w:t>
      </w:r>
      <w:r w:rsidRPr="005A4ABD">
        <w:tab/>
        <w:t>Congregate Housing Facilities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4:  Alternate Living Arrangements, 4.1 Congregate Housing Facilities&#10;"/>
      </w:tblPr>
      <w:tblGrid>
        <w:gridCol w:w="4878"/>
        <w:gridCol w:w="2250"/>
        <w:gridCol w:w="2610"/>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4.1.1</w:t>
            </w:r>
            <w:r w:rsidRPr="006679EA">
              <w:rPr>
                <w:rFonts w:ascii="Book Antiqua" w:eastAsia="MS ????" w:hAnsi="Book Antiqua" w:cs="Cambria"/>
                <w:spacing w:val="-2"/>
                <w:sz w:val="20"/>
                <w:szCs w:val="20"/>
              </w:rPr>
              <w:tab/>
              <w:t>Is staff able to offer information and resources about congregate housing facilities or refer the consumer to someone who can assist him/her with this option for living?</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4.1.2</w:t>
            </w:r>
            <w:r w:rsidRPr="006679EA">
              <w:rPr>
                <w:rFonts w:ascii="Book Antiqua" w:eastAsia="MS ????" w:hAnsi="Book Antiqua" w:cs="Cambria"/>
                <w:bCs/>
                <w:spacing w:val="-2"/>
                <w:sz w:val="20"/>
                <w:szCs w:val="20"/>
              </w:rPr>
              <w:tab/>
              <w:t xml:space="preserve">Does </w:t>
            </w:r>
            <w:proofErr w:type="gramStart"/>
            <w:r w:rsidRPr="006679EA">
              <w:rPr>
                <w:rFonts w:ascii="Book Antiqua" w:eastAsia="MS ????" w:hAnsi="Book Antiqua" w:cs="Cambria"/>
                <w:bCs/>
                <w:spacing w:val="-2"/>
                <w:sz w:val="20"/>
                <w:szCs w:val="20"/>
              </w:rPr>
              <w:t>staff  know</w:t>
            </w:r>
            <w:proofErr w:type="gramEnd"/>
            <w:r w:rsidRPr="006679EA">
              <w:rPr>
                <w:rFonts w:ascii="Book Antiqua" w:eastAsia="MS ????" w:hAnsi="Book Antiqua" w:cs="Cambria"/>
                <w:bCs/>
                <w:spacing w:val="-2"/>
                <w:sz w:val="20"/>
                <w:szCs w:val="20"/>
              </w:rPr>
              <w:t xml:space="preserve"> the functional capability a person must have to reside in this setting of care?</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D030DE" w:rsidRPr="005A4ABD" w:rsidRDefault="00D030DE" w:rsidP="005A4ABD">
      <w:pPr>
        <w:pStyle w:val="Heading2"/>
      </w:pPr>
      <w:r w:rsidRPr="005A4ABD">
        <w:t xml:space="preserve">4.2 </w:t>
      </w:r>
      <w:r w:rsidRPr="005A4ABD">
        <w:tab/>
        <w:t xml:space="preserve">Assisted Living Facilities </w:t>
      </w:r>
      <w:r w:rsidR="005A4ABD">
        <w:t>a</w:t>
      </w:r>
      <w:r w:rsidRPr="005A4ABD">
        <w:t>nd Residential Facilities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4:  Alternate Living Arrangements, 4.2 Assisted Living Facilities and Residential Facilities"/>
      </w:tblPr>
      <w:tblGrid>
        <w:gridCol w:w="4878"/>
        <w:gridCol w:w="2250"/>
        <w:gridCol w:w="2610"/>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4.2.1</w:t>
            </w:r>
            <w:r w:rsidRPr="006679EA">
              <w:rPr>
                <w:rFonts w:ascii="Book Antiqua" w:eastAsia="MS ????" w:hAnsi="Book Antiqua" w:cs="Cambria"/>
                <w:bCs/>
                <w:spacing w:val="-2"/>
                <w:sz w:val="20"/>
                <w:szCs w:val="20"/>
              </w:rPr>
              <w:tab/>
              <w:t>Can you offer information and resources about assisted living facilities and residential facilities?</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4.2.2</w:t>
            </w:r>
            <w:r w:rsidRPr="006679EA">
              <w:rPr>
                <w:rFonts w:ascii="Book Antiqua" w:eastAsia="MS ????" w:hAnsi="Book Antiqua" w:cs="Cambria"/>
                <w:bCs/>
                <w:spacing w:val="-2"/>
                <w:sz w:val="20"/>
                <w:szCs w:val="20"/>
              </w:rPr>
              <w:tab/>
              <w:t>Do you know the functional capability a person must have to reside in this setting of care?</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D030DE" w:rsidRPr="005A4ABD" w:rsidRDefault="00D030DE" w:rsidP="005A4ABD">
      <w:pPr>
        <w:pStyle w:val="Heading2"/>
      </w:pPr>
      <w:r w:rsidRPr="005A4ABD">
        <w:t>4.3</w:t>
      </w:r>
      <w:r w:rsidRPr="005A4ABD">
        <w:tab/>
        <w:t xml:space="preserve">Board </w:t>
      </w:r>
      <w:r w:rsidR="005A4ABD">
        <w:t>&amp;</w:t>
      </w:r>
      <w:r w:rsidRPr="005A4ABD">
        <w:t xml:space="preserve"> Care Homes </w:t>
      </w:r>
      <w:r w:rsidR="005A4ABD">
        <w:t>a</w:t>
      </w:r>
      <w:r w:rsidRPr="005A4ABD">
        <w:t>nd Adult Foster Homes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4:  Alternate Living Arrangements, 4.3 Board &amp; Care Homes and Adult Foster Homes"/>
      </w:tblPr>
      <w:tblGrid>
        <w:gridCol w:w="4878"/>
        <w:gridCol w:w="2250"/>
        <w:gridCol w:w="2610"/>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4.3.1</w:t>
            </w:r>
            <w:r w:rsidRPr="006679EA">
              <w:rPr>
                <w:rFonts w:ascii="Book Antiqua" w:eastAsia="MS ????" w:hAnsi="Book Antiqua" w:cs="Cambria"/>
                <w:bCs/>
                <w:spacing w:val="-2"/>
                <w:sz w:val="20"/>
                <w:szCs w:val="20"/>
              </w:rPr>
              <w:tab/>
              <w:t>Can you offer information and resources about board and care homes and adult foster homes?</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4.3.2</w:t>
            </w:r>
            <w:r w:rsidRPr="006679EA">
              <w:rPr>
                <w:rFonts w:ascii="Book Antiqua" w:eastAsia="MS ????" w:hAnsi="Book Antiqua" w:cs="Cambria"/>
                <w:bCs/>
                <w:spacing w:val="-2"/>
                <w:sz w:val="20"/>
                <w:szCs w:val="20"/>
              </w:rPr>
              <w:tab/>
              <w:t>Do you know the functional capability a person must have to reside in this setting of care?</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D030DE" w:rsidRPr="005A4ABD" w:rsidRDefault="00D030DE" w:rsidP="005A4ABD">
      <w:pPr>
        <w:pStyle w:val="Heading2"/>
      </w:pPr>
      <w:r w:rsidRPr="005A4ABD">
        <w:t>4.4</w:t>
      </w:r>
      <w:r w:rsidRPr="005A4ABD">
        <w:tab/>
        <w:t xml:space="preserve"> Residential Treatment Centers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4:  Alternate Living Arrangements, 4.4 Residential Treatment Centers"/>
      </w:tblPr>
      <w:tblGrid>
        <w:gridCol w:w="4878"/>
        <w:gridCol w:w="2250"/>
        <w:gridCol w:w="2610"/>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4.4.1</w:t>
            </w:r>
            <w:r w:rsidRPr="006679EA">
              <w:rPr>
                <w:rFonts w:ascii="Book Antiqua" w:eastAsia="MS ????" w:hAnsi="Book Antiqua" w:cs="Cambria"/>
                <w:bCs/>
                <w:spacing w:val="-2"/>
                <w:sz w:val="20"/>
                <w:szCs w:val="20"/>
              </w:rPr>
              <w:tab/>
              <w:t>Can you offer information and resources about residential treatment centers?</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4.4.2</w:t>
            </w:r>
            <w:r w:rsidRPr="006679EA">
              <w:rPr>
                <w:rFonts w:ascii="Book Antiqua" w:eastAsia="MS ????" w:hAnsi="Book Antiqua" w:cs="Cambria"/>
                <w:bCs/>
                <w:spacing w:val="-2"/>
                <w:sz w:val="20"/>
                <w:szCs w:val="20"/>
              </w:rPr>
              <w:tab/>
              <w:t>Do you know the functional capability a person must have to reside in this setting of care?</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D030DE" w:rsidRPr="005A4ABD" w:rsidRDefault="00D030DE" w:rsidP="005A4ABD">
      <w:pPr>
        <w:pStyle w:val="Heading2"/>
      </w:pPr>
      <w:r w:rsidRPr="005A4ABD">
        <w:t>4.5</w:t>
      </w:r>
      <w:r w:rsidRPr="005A4ABD">
        <w:tab/>
        <w:t>State Veterans Homes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4:  Alternate Living Arrangements, 4.5 State Veterans Homes"/>
      </w:tblPr>
      <w:tblGrid>
        <w:gridCol w:w="4878"/>
        <w:gridCol w:w="2250"/>
        <w:gridCol w:w="2610"/>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4.5.1</w:t>
            </w:r>
            <w:r w:rsidRPr="006679EA">
              <w:rPr>
                <w:rFonts w:ascii="Book Antiqua" w:eastAsia="MS ????" w:hAnsi="Book Antiqua" w:cs="Cambria"/>
                <w:bCs/>
                <w:spacing w:val="-2"/>
                <w:sz w:val="20"/>
                <w:szCs w:val="20"/>
              </w:rPr>
              <w:tab/>
              <w:t>Can you offer information and resources about State Veterans Homes?</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4.5.2</w:t>
            </w:r>
            <w:r w:rsidRPr="006679EA">
              <w:rPr>
                <w:rFonts w:ascii="Book Antiqua" w:eastAsia="MS ????" w:hAnsi="Book Antiqua" w:cs="Cambria"/>
                <w:bCs/>
                <w:spacing w:val="-2"/>
                <w:sz w:val="20"/>
                <w:szCs w:val="20"/>
              </w:rPr>
              <w:tab/>
              <w:t>Do you know the functional capability a person must have to reside in this setting of care?</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D030DE" w:rsidRPr="005A4ABD" w:rsidRDefault="00D030DE" w:rsidP="005A4ABD">
      <w:pPr>
        <w:pStyle w:val="Heading2"/>
      </w:pPr>
      <w:r w:rsidRPr="005A4ABD">
        <w:t>4.6</w:t>
      </w:r>
      <w:r w:rsidRPr="005A4ABD">
        <w:tab/>
        <w:t>Residential Nursing Homes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4:  Alternate Living Arrangements, 4.6 Residential Nursing Homes"/>
      </w:tblPr>
      <w:tblGrid>
        <w:gridCol w:w="4878"/>
        <w:gridCol w:w="2250"/>
        <w:gridCol w:w="2610"/>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4.6.1</w:t>
            </w:r>
            <w:r w:rsidRPr="006679EA">
              <w:rPr>
                <w:rFonts w:ascii="Book Antiqua" w:eastAsia="MS ????" w:hAnsi="Book Antiqua" w:cs="Cambria"/>
                <w:bCs/>
                <w:spacing w:val="-2"/>
                <w:sz w:val="20"/>
                <w:szCs w:val="20"/>
              </w:rPr>
              <w:tab/>
              <w:t>Can you offer information and resources about Residential Nursing Homes?</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4.6.2</w:t>
            </w:r>
            <w:r w:rsidRPr="006679EA">
              <w:rPr>
                <w:rFonts w:ascii="Book Antiqua" w:eastAsia="MS ????" w:hAnsi="Book Antiqua" w:cs="Cambria"/>
                <w:bCs/>
                <w:spacing w:val="-2"/>
                <w:sz w:val="20"/>
                <w:szCs w:val="20"/>
              </w:rPr>
              <w:tab/>
              <w:t>Do you know the functional capability a person must have to reside in this setting of care?</w:t>
            </w:r>
          </w:p>
        </w:tc>
        <w:tc>
          <w:tcPr>
            <w:tcW w:w="2250"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1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D030DE" w:rsidRPr="00D030DE" w:rsidRDefault="00D030DE" w:rsidP="005A4ABD">
      <w:pPr>
        <w:pStyle w:val="Heading2"/>
        <w:rPr>
          <w:rFonts w:eastAsia="MS ??"/>
        </w:rPr>
      </w:pPr>
      <w:r w:rsidRPr="005A4ABD">
        <w:t>4.7</w:t>
      </w:r>
      <w:r w:rsidRPr="005A4ABD">
        <w:tab/>
        <w:t>Living with a Family Member</w:t>
      </w:r>
      <w:r w:rsidRPr="00D030DE">
        <w:rPr>
          <w:rFonts w:eastAsia="MS ??"/>
        </w:rPr>
        <w:t xml:space="preserve"> </w:t>
      </w:r>
      <w:r>
        <w:rPr>
          <w:rFonts w:eastAsia="MS ??"/>
        </w:rPr>
        <w:t>o</w:t>
      </w:r>
      <w:r w:rsidRPr="00D030DE">
        <w:rPr>
          <w:rFonts w:eastAsia="MS ??"/>
        </w:rPr>
        <w:t>r Friend</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4:  Alternate Living Arrangements, 4.7 Living with a Family Member or Friend"/>
      </w:tblPr>
      <w:tblGrid>
        <w:gridCol w:w="4878"/>
        <w:gridCol w:w="2250"/>
        <w:gridCol w:w="2610"/>
      </w:tblGrid>
      <w:tr w:rsidR="00D030DE" w:rsidRPr="006679EA" w:rsidTr="005A4ABD">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D030DE" w:rsidRPr="006679EA" w:rsidRDefault="00D030DE" w:rsidP="00D030DE">
            <w:pPr>
              <w:pStyle w:val="TableColumnHeader"/>
            </w:pPr>
            <w:r>
              <w:t>Question</w:t>
            </w:r>
          </w:p>
        </w:tc>
        <w:tc>
          <w:tcPr>
            <w:tcW w:w="2250"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D030DE" w:rsidRPr="00D030DE" w:rsidRDefault="00D030DE" w:rsidP="00D030DE">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10" w:type="dxa"/>
            <w:tcBorders>
              <w:left w:val="single" w:sz="4" w:space="0" w:color="FFFFFF" w:themeColor="background1"/>
              <w:bottom w:val="single" w:sz="4" w:space="0" w:color="auto"/>
            </w:tcBorders>
            <w:shd w:val="clear" w:color="auto" w:fill="403152" w:themeFill="accent4" w:themeFillShade="80"/>
            <w:vAlign w:val="center"/>
          </w:tcPr>
          <w:p w:rsidR="00D030DE" w:rsidRPr="006679EA" w:rsidRDefault="00D030DE" w:rsidP="00D030DE">
            <w:pPr>
              <w:pStyle w:val="TableColumnHeader"/>
              <w:rPr>
                <w:rFonts w:eastAsia="MS ??" w:cs="Calibri"/>
                <w:spacing w:val="-2"/>
              </w:rPr>
            </w:pPr>
            <w:r w:rsidRPr="006679EA">
              <w:rPr>
                <w:rFonts w:eastAsia="MS ??" w:cs="Calibri"/>
                <w:spacing w:val="-2"/>
              </w:rPr>
              <w:t>Notes</w:t>
            </w:r>
          </w:p>
        </w:tc>
      </w:tr>
      <w:tr w:rsidR="00307652" w:rsidRPr="006679EA" w:rsidTr="005A4ABD">
        <w:trPr>
          <w:cantSplit/>
        </w:trPr>
        <w:tc>
          <w:tcPr>
            <w:tcW w:w="4878" w:type="dxa"/>
            <w:vAlign w:val="center"/>
          </w:tcPr>
          <w:p w:rsidR="00307652" w:rsidRPr="006679EA" w:rsidRDefault="00307652"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4.7.1</w:t>
            </w:r>
            <w:r w:rsidRPr="006679EA">
              <w:rPr>
                <w:rFonts w:ascii="Book Antiqua" w:eastAsia="MS ????" w:hAnsi="Book Antiqua" w:cs="Cambria"/>
                <w:bCs/>
                <w:spacing w:val="-2"/>
                <w:sz w:val="20"/>
                <w:szCs w:val="20"/>
              </w:rPr>
              <w:tab/>
              <w:t>Can you offer information and resources a</w:t>
            </w:r>
            <w:r w:rsidR="00806428" w:rsidRPr="006679EA">
              <w:rPr>
                <w:rFonts w:ascii="Book Antiqua" w:eastAsia="MS ????" w:hAnsi="Book Antiqua" w:cs="Cambria"/>
                <w:bCs/>
                <w:spacing w:val="-2"/>
                <w:sz w:val="20"/>
                <w:szCs w:val="20"/>
              </w:rPr>
              <w:t>bout residential nursing homes?</w:t>
            </w:r>
          </w:p>
        </w:tc>
        <w:tc>
          <w:tcPr>
            <w:tcW w:w="2250" w:type="dxa"/>
            <w:vAlign w:val="center"/>
          </w:tcPr>
          <w:p w:rsidR="00307652" w:rsidRPr="006679EA" w:rsidRDefault="00307652" w:rsidP="006679EA">
            <w:pPr>
              <w:widowControl w:val="0"/>
              <w:rPr>
                <w:rFonts w:ascii="Book Antiqua" w:eastAsia="MS ??" w:hAnsi="Book Antiqua" w:cs="Calibri"/>
                <w:smallCaps/>
                <w:spacing w:val="-2"/>
                <w:sz w:val="20"/>
                <w:szCs w:val="20"/>
              </w:rPr>
            </w:pPr>
          </w:p>
        </w:tc>
        <w:tc>
          <w:tcPr>
            <w:tcW w:w="2610" w:type="dxa"/>
            <w:vAlign w:val="center"/>
          </w:tcPr>
          <w:p w:rsidR="00307652" w:rsidRPr="006679EA" w:rsidRDefault="00307652" w:rsidP="006679EA">
            <w:pPr>
              <w:widowControl w:val="0"/>
              <w:rPr>
                <w:rFonts w:ascii="Book Antiqua" w:eastAsia="MS ??" w:hAnsi="Book Antiqua" w:cs="Calibri"/>
                <w:smallCaps/>
                <w:spacing w:val="-2"/>
                <w:sz w:val="20"/>
                <w:szCs w:val="20"/>
              </w:rPr>
            </w:pPr>
          </w:p>
        </w:tc>
      </w:tr>
      <w:tr w:rsidR="00307652" w:rsidRPr="006679EA" w:rsidTr="005A4ABD">
        <w:trPr>
          <w:cantSplit/>
        </w:trPr>
        <w:tc>
          <w:tcPr>
            <w:tcW w:w="4878" w:type="dxa"/>
            <w:vAlign w:val="center"/>
          </w:tcPr>
          <w:p w:rsidR="00307652" w:rsidRPr="006679EA" w:rsidRDefault="00307652"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4.7.2</w:t>
            </w:r>
            <w:r w:rsidRPr="006679EA">
              <w:rPr>
                <w:rFonts w:ascii="Book Antiqua" w:eastAsia="MS ????" w:hAnsi="Book Antiqua" w:cs="Cambria"/>
                <w:bCs/>
                <w:spacing w:val="-2"/>
                <w:sz w:val="20"/>
                <w:szCs w:val="20"/>
              </w:rPr>
              <w:tab/>
              <w:t xml:space="preserve">Do you know the functional capability a person must have to </w:t>
            </w:r>
            <w:r w:rsidR="00806428" w:rsidRPr="006679EA">
              <w:rPr>
                <w:rFonts w:ascii="Book Antiqua" w:eastAsia="MS ????" w:hAnsi="Book Antiqua" w:cs="Cambria"/>
                <w:bCs/>
                <w:spacing w:val="-2"/>
                <w:sz w:val="20"/>
                <w:szCs w:val="20"/>
              </w:rPr>
              <w:t>reside in this setting of care?</w:t>
            </w:r>
          </w:p>
        </w:tc>
        <w:tc>
          <w:tcPr>
            <w:tcW w:w="2250" w:type="dxa"/>
            <w:vAlign w:val="center"/>
          </w:tcPr>
          <w:p w:rsidR="00307652" w:rsidRPr="006679EA" w:rsidRDefault="00307652" w:rsidP="006679EA">
            <w:pPr>
              <w:widowControl w:val="0"/>
              <w:rPr>
                <w:rFonts w:ascii="Book Antiqua" w:eastAsia="MS ??" w:hAnsi="Book Antiqua" w:cs="Calibri"/>
                <w:smallCaps/>
                <w:spacing w:val="-2"/>
                <w:sz w:val="20"/>
                <w:szCs w:val="20"/>
              </w:rPr>
            </w:pPr>
          </w:p>
        </w:tc>
        <w:tc>
          <w:tcPr>
            <w:tcW w:w="2610" w:type="dxa"/>
            <w:vAlign w:val="center"/>
          </w:tcPr>
          <w:p w:rsidR="00307652" w:rsidRPr="006679EA" w:rsidRDefault="00307652" w:rsidP="006679EA">
            <w:pPr>
              <w:widowControl w:val="0"/>
              <w:rPr>
                <w:rFonts w:ascii="Book Antiqua" w:eastAsia="MS ??" w:hAnsi="Book Antiqua" w:cs="Calibri"/>
                <w:smallCaps/>
                <w:spacing w:val="-2"/>
                <w:sz w:val="20"/>
                <w:szCs w:val="20"/>
              </w:rPr>
            </w:pPr>
          </w:p>
        </w:tc>
      </w:tr>
    </w:tbl>
    <w:p w:rsidR="000D0B3D" w:rsidRDefault="000D0B3D">
      <w:pPr>
        <w:rPr>
          <w:rFonts w:ascii="Book Antiqua" w:eastAsia="MS ??" w:hAnsi="Book Antiqua" w:cs="Calibri"/>
          <w:smallCaps/>
          <w:color w:val="5F497A"/>
          <w:spacing w:val="-2"/>
          <w:sz w:val="40"/>
          <w:szCs w:val="56"/>
        </w:rPr>
      </w:pPr>
      <w:r>
        <w:rPr>
          <w:rFonts w:ascii="Book Antiqua" w:eastAsia="MS ??" w:hAnsi="Book Antiqua" w:cs="Calibri"/>
          <w:smallCaps/>
          <w:color w:val="5F497A"/>
          <w:spacing w:val="-2"/>
          <w:sz w:val="40"/>
          <w:szCs w:val="56"/>
        </w:rPr>
        <w:br w:type="page"/>
      </w:r>
    </w:p>
    <w:p w:rsidR="00806428" w:rsidRDefault="005A4ABD" w:rsidP="00727E1C">
      <w:pPr>
        <w:pStyle w:val="Heading1"/>
        <w:rPr>
          <w:rFonts w:eastAsia="MS ??"/>
        </w:rPr>
      </w:pPr>
      <w:r>
        <w:rPr>
          <w:rFonts w:eastAsia="MS ??"/>
        </w:rPr>
        <w:t>Domain 5:</w:t>
      </w:r>
      <w:r>
        <w:rPr>
          <w:rFonts w:eastAsia="MS ??"/>
        </w:rPr>
        <w:tab/>
      </w:r>
      <w:r w:rsidR="000D0B3D" w:rsidRPr="002E0432">
        <w:rPr>
          <w:rFonts w:eastAsia="MS ??"/>
        </w:rPr>
        <w:t>Caregiving</w:t>
      </w:r>
    </w:p>
    <w:p w:rsidR="005A4ABD" w:rsidRDefault="005A4ABD" w:rsidP="005A4ABD">
      <w:pPr>
        <w:pStyle w:val="Heading2"/>
        <w:spacing w:before="0"/>
        <w:rPr>
          <w:rFonts w:eastAsia="MS ??"/>
        </w:rPr>
      </w:pPr>
      <w:r w:rsidRPr="005A4ABD">
        <w:rPr>
          <w:rFonts w:eastAsia="MS ??"/>
        </w:rPr>
        <w:t>5.1</w:t>
      </w:r>
      <w:r w:rsidRPr="005A4ABD">
        <w:rPr>
          <w:rFonts w:eastAsia="MS ??"/>
        </w:rPr>
        <w:tab/>
        <w:t xml:space="preserve">Older Adults </w:t>
      </w:r>
      <w:r>
        <w:rPr>
          <w:rFonts w:eastAsia="MS ??"/>
        </w:rPr>
        <w:t>a</w:t>
      </w:r>
      <w:r w:rsidRPr="005A4ABD">
        <w:rPr>
          <w:rFonts w:eastAsia="MS ??"/>
        </w:rPr>
        <w:t xml:space="preserve">s Recipients </w:t>
      </w:r>
      <w:r>
        <w:rPr>
          <w:rFonts w:eastAsia="MS ??"/>
        </w:rPr>
        <w:t>o</w:t>
      </w:r>
      <w:r w:rsidRPr="005A4ABD">
        <w:rPr>
          <w:rFonts w:eastAsia="MS ??"/>
        </w:rPr>
        <w:t>f Informal Care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5: Caregiving, 5.1 Older Adults as Recipients of Informal Care&#10;"/>
      </w:tblPr>
      <w:tblGrid>
        <w:gridCol w:w="4842"/>
        <w:gridCol w:w="2196"/>
        <w:gridCol w:w="2700"/>
      </w:tblGrid>
      <w:tr w:rsidR="005A4ABD" w:rsidRPr="006679EA" w:rsidTr="0031672C">
        <w:trPr>
          <w:cantSplit/>
          <w:tblHeader/>
        </w:trPr>
        <w:tc>
          <w:tcPr>
            <w:tcW w:w="4842"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196"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70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5.1.1</w:t>
            </w:r>
            <w:r w:rsidRPr="006679EA">
              <w:rPr>
                <w:rFonts w:ascii="Book Antiqua" w:eastAsia="MS ????" w:hAnsi="Book Antiqua" w:cs="Cambria"/>
                <w:spacing w:val="-2"/>
                <w:sz w:val="20"/>
                <w:szCs w:val="20"/>
              </w:rPr>
              <w:tab/>
              <w:t>Is the IDT aware of what needs are being met through the natural supports of the geriatric consumer and by whom, and what services are provided through more formal provisions of care by hired workers?</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5.1.2</w:t>
            </w:r>
            <w:r w:rsidRPr="006679EA">
              <w:rPr>
                <w:rFonts w:ascii="Book Antiqua" w:eastAsia="MS ????" w:hAnsi="Book Antiqua" w:cs="Cambria"/>
                <w:spacing w:val="-2"/>
                <w:sz w:val="20"/>
                <w:szCs w:val="20"/>
              </w:rPr>
              <w:tab/>
              <w:t>Are informal caregivers noted as part of the medical record?</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5.1.3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 xml:space="preserve">Are informal caregivers a part of the consumer’s IPC? </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spacing w:val="-2"/>
                <w:sz w:val="20"/>
                <w:szCs w:val="20"/>
              </w:rPr>
              <w:t xml:space="preserve">5.1.4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Do</w:t>
            </w:r>
            <w:proofErr w:type="gramEnd"/>
            <w:r w:rsidRPr="006679EA">
              <w:rPr>
                <w:rFonts w:ascii="Book Antiqua" w:eastAsia="MS ????" w:hAnsi="Book Antiqua" w:cs="Cambria"/>
                <w:spacing w:val="-2"/>
                <w:sz w:val="20"/>
                <w:szCs w:val="20"/>
              </w:rPr>
              <w:t xml:space="preserve"> IDT staff regularly consult consumers about their options to share protected health care information with caregivers?</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5.1.5</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trained to watch for, and report, problematic caregiver relationships, such as abuse, neglect, and exploitation?</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 xml:space="preserve">5.1.6 </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staff aware of an older consumer’s back-up plan to provide replacement caregiving in case of an emergency and resources that staff may contact to assist the consumer if needed?</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 xml:space="preserve">5.1.7 </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staff aware of respite care available for consumers’ informal caregivers?</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pPr>
      <w:r w:rsidRPr="005A4ABD">
        <w:t>5.2</w:t>
      </w:r>
      <w:r w:rsidRPr="005A4ABD">
        <w:tab/>
        <w:t xml:space="preserve">Older Adults </w:t>
      </w:r>
      <w:r>
        <w:t>a</w:t>
      </w:r>
      <w:r w:rsidRPr="005A4ABD">
        <w:t xml:space="preserve">s Providers </w:t>
      </w:r>
      <w:r>
        <w:t>o</w:t>
      </w:r>
      <w:r w:rsidRPr="005A4ABD">
        <w:t>f Informal Care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5: Caregiving, 5.2 Older Adults as Providers of Informal Care"/>
      </w:tblPr>
      <w:tblGrid>
        <w:gridCol w:w="4842"/>
        <w:gridCol w:w="2196"/>
        <w:gridCol w:w="2700"/>
      </w:tblGrid>
      <w:tr w:rsidR="005A4ABD" w:rsidRPr="006679EA" w:rsidTr="0031672C">
        <w:trPr>
          <w:cantSplit/>
          <w:tblHeader/>
        </w:trPr>
        <w:tc>
          <w:tcPr>
            <w:tcW w:w="4842"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196"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70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5.2.1</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aware of consumers’ roles as caregivers to an elderly partner, family member, friend, or neighbor?</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5.2.2</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trained to assess the effect of caregiving on the geriatric consumer’s physical, emotional, and financial status?</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 xml:space="preserve">5.2.3  </w:t>
            </w:r>
            <w:r>
              <w:rPr>
                <w:rFonts w:ascii="Book Antiqua" w:eastAsia="MS ????" w:hAnsi="Book Antiqua" w:cs="Cambria"/>
                <w:bCs/>
                <w:spacing w:val="-2"/>
                <w:sz w:val="20"/>
                <w:szCs w:val="20"/>
              </w:rPr>
              <w:tab/>
            </w:r>
            <w:r w:rsidRPr="006679EA">
              <w:rPr>
                <w:rFonts w:ascii="Book Antiqua" w:eastAsia="MS ????" w:hAnsi="Book Antiqua" w:cs="Cambria"/>
                <w:bCs/>
                <w:spacing w:val="-2"/>
                <w:sz w:val="20"/>
                <w:szCs w:val="20"/>
              </w:rPr>
              <w:t xml:space="preserve">Are the consumer’s caregiving responsibilities noted as part of the consumer’s IPC? </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5.2.4</w:t>
            </w:r>
            <w:r>
              <w:rPr>
                <w:rFonts w:ascii="Book Antiqua" w:eastAsia="MS ????" w:hAnsi="Book Antiqua" w:cs="Cambria"/>
                <w:bCs/>
                <w:spacing w:val="-2"/>
                <w:sz w:val="20"/>
                <w:szCs w:val="20"/>
              </w:rPr>
              <w:tab/>
            </w:r>
            <w:r w:rsidRPr="006679EA">
              <w:rPr>
                <w:rFonts w:ascii="Book Antiqua" w:eastAsia="MS ????" w:hAnsi="Book Antiqua" w:cs="Cambria"/>
                <w:bCs/>
                <w:spacing w:val="-2"/>
                <w:sz w:val="20"/>
                <w:szCs w:val="20"/>
              </w:rPr>
              <w:t>Are</w:t>
            </w:r>
            <w:proofErr w:type="gramEnd"/>
            <w:r w:rsidRPr="006679EA">
              <w:rPr>
                <w:rFonts w:ascii="Book Antiqua" w:eastAsia="MS ????" w:hAnsi="Book Antiqua" w:cs="Cambria"/>
                <w:bCs/>
                <w:spacing w:val="-2"/>
                <w:sz w:val="20"/>
                <w:szCs w:val="20"/>
              </w:rPr>
              <w:t xml:space="preserve"> IDT staff aware of resources, including respite care, for the elderly caregiver?</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pPr>
      <w:r w:rsidRPr="005A4ABD">
        <w:t>5.3</w:t>
      </w:r>
      <w:r w:rsidRPr="005A4ABD">
        <w:tab/>
        <w:t xml:space="preserve">Older Adults </w:t>
      </w:r>
      <w:r>
        <w:t>a</w:t>
      </w:r>
      <w:r w:rsidRPr="005A4ABD">
        <w:t xml:space="preserve">s Caregivers </w:t>
      </w:r>
      <w:r>
        <w:t>t</w:t>
      </w:r>
      <w:r w:rsidRPr="005A4ABD">
        <w:t>o Children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5: Caregiving, 5.3 Older Adults as Caregivers to Children"/>
      </w:tblPr>
      <w:tblGrid>
        <w:gridCol w:w="4842"/>
        <w:gridCol w:w="2196"/>
        <w:gridCol w:w="2700"/>
      </w:tblGrid>
      <w:tr w:rsidR="005A4ABD" w:rsidRPr="006679EA" w:rsidTr="005A4ABD">
        <w:trPr>
          <w:cantSplit/>
          <w:tblHeader/>
        </w:trPr>
        <w:tc>
          <w:tcPr>
            <w:tcW w:w="4842"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196"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70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C47693" w:rsidRPr="006679EA" w:rsidTr="005A4ABD">
        <w:trPr>
          <w:cantSplit/>
        </w:trPr>
        <w:tc>
          <w:tcPr>
            <w:tcW w:w="4842" w:type="dxa"/>
            <w:vAlign w:val="center"/>
          </w:tcPr>
          <w:p w:rsidR="00C47693" w:rsidRPr="006679EA" w:rsidRDefault="00C47693" w:rsidP="002E0432">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5.3.1</w:t>
            </w:r>
            <w:r w:rsidR="002E0432">
              <w:rPr>
                <w:rFonts w:ascii="Book Antiqua" w:eastAsia="MS ????" w:hAnsi="Book Antiqua" w:cs="Cambria"/>
                <w:bCs/>
                <w:spacing w:val="-2"/>
                <w:sz w:val="20"/>
                <w:szCs w:val="20"/>
              </w:rPr>
              <w:tab/>
            </w:r>
            <w:r w:rsidRPr="006679EA">
              <w:rPr>
                <w:rFonts w:ascii="Book Antiqua" w:eastAsia="MS ????" w:hAnsi="Book Antiqua" w:cs="Cambria"/>
                <w:bCs/>
                <w:spacing w:val="-2"/>
                <w:sz w:val="20"/>
                <w:szCs w:val="20"/>
              </w:rPr>
              <w:t>Are</w:t>
            </w:r>
            <w:proofErr w:type="gramEnd"/>
            <w:r w:rsidRPr="006679EA">
              <w:rPr>
                <w:rFonts w:ascii="Book Antiqua" w:eastAsia="MS ????" w:hAnsi="Book Antiqua" w:cs="Cambria"/>
                <w:bCs/>
                <w:spacing w:val="-2"/>
                <w:sz w:val="20"/>
                <w:szCs w:val="20"/>
              </w:rPr>
              <w:t xml:space="preserve"> IDT staff aware of their geriatric consumers who have custody of children?</w:t>
            </w:r>
          </w:p>
        </w:tc>
        <w:tc>
          <w:tcPr>
            <w:tcW w:w="2196"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700"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r w:rsidR="00C47693" w:rsidRPr="006679EA" w:rsidTr="005A4ABD">
        <w:trPr>
          <w:cantSplit/>
        </w:trPr>
        <w:tc>
          <w:tcPr>
            <w:tcW w:w="4842" w:type="dxa"/>
            <w:vAlign w:val="center"/>
          </w:tcPr>
          <w:p w:rsidR="00C47693" w:rsidRPr="006679EA" w:rsidRDefault="00C47693" w:rsidP="002E0432">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5.3.2</w:t>
            </w:r>
            <w:r w:rsidR="002E0432">
              <w:rPr>
                <w:rFonts w:ascii="Book Antiqua" w:eastAsia="MS ????" w:hAnsi="Book Antiqua" w:cs="Cambria"/>
                <w:bCs/>
                <w:spacing w:val="-2"/>
                <w:sz w:val="20"/>
                <w:szCs w:val="20"/>
              </w:rPr>
              <w:tab/>
            </w:r>
            <w:r w:rsidRPr="006679EA">
              <w:rPr>
                <w:rFonts w:ascii="Book Antiqua" w:eastAsia="MS ????" w:hAnsi="Book Antiqua" w:cs="Cambria"/>
                <w:bCs/>
                <w:spacing w:val="-2"/>
                <w:sz w:val="20"/>
                <w:szCs w:val="20"/>
              </w:rPr>
              <w:t>Are</w:t>
            </w:r>
            <w:proofErr w:type="gramEnd"/>
            <w:r w:rsidRPr="006679EA">
              <w:rPr>
                <w:rFonts w:ascii="Book Antiqua" w:eastAsia="MS ????" w:hAnsi="Book Antiqua" w:cs="Cambria"/>
                <w:bCs/>
                <w:spacing w:val="-2"/>
                <w:sz w:val="20"/>
                <w:szCs w:val="20"/>
              </w:rPr>
              <w:t xml:space="preserve"> IDT staff aware of the effects on the consumer’s physical, emotional, and financial well-being of raising a child or children?</w:t>
            </w:r>
          </w:p>
        </w:tc>
        <w:tc>
          <w:tcPr>
            <w:tcW w:w="2196"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700"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r w:rsidR="00C47693" w:rsidRPr="006679EA" w:rsidTr="005A4ABD">
        <w:trPr>
          <w:cantSplit/>
        </w:trPr>
        <w:tc>
          <w:tcPr>
            <w:tcW w:w="4842" w:type="dxa"/>
            <w:vAlign w:val="center"/>
          </w:tcPr>
          <w:p w:rsidR="00C47693" w:rsidRPr="006679EA" w:rsidRDefault="00C47693" w:rsidP="00D777D2">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5.3.3</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aware of resources available to grandparent caregivers?</w:t>
            </w:r>
          </w:p>
        </w:tc>
        <w:tc>
          <w:tcPr>
            <w:tcW w:w="2196"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700"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bl>
    <w:p w:rsidR="00C47693" w:rsidRDefault="005A4ABD" w:rsidP="005A4ABD">
      <w:pPr>
        <w:pStyle w:val="Heading1"/>
        <w:pageBreakBefore/>
        <w:rPr>
          <w:rFonts w:eastAsia="MS ??"/>
        </w:rPr>
      </w:pPr>
      <w:r>
        <w:rPr>
          <w:rFonts w:eastAsia="MS ??"/>
        </w:rPr>
        <w:t>Domain 6:</w:t>
      </w:r>
      <w:r>
        <w:rPr>
          <w:rFonts w:eastAsia="MS ??"/>
        </w:rPr>
        <w:tab/>
      </w:r>
      <w:r w:rsidR="00C47693" w:rsidRPr="002E0432">
        <w:rPr>
          <w:rFonts w:eastAsia="MS ??"/>
        </w:rPr>
        <w:t>B</w:t>
      </w:r>
      <w:r w:rsidR="000D0B3D" w:rsidRPr="002E0432">
        <w:rPr>
          <w:rFonts w:eastAsia="MS ??"/>
        </w:rPr>
        <w:t xml:space="preserve">enefits and Resources </w:t>
      </w:r>
    </w:p>
    <w:p w:rsidR="005A4ABD" w:rsidRDefault="005A4ABD" w:rsidP="005A4ABD">
      <w:pPr>
        <w:pStyle w:val="Heading2"/>
        <w:spacing w:before="0"/>
        <w:rPr>
          <w:rFonts w:eastAsia="MS ??"/>
        </w:rPr>
      </w:pPr>
      <w:r w:rsidRPr="005A4ABD">
        <w:rPr>
          <w:rFonts w:eastAsia="MS ??"/>
        </w:rPr>
        <w:t>6.1</w:t>
      </w:r>
      <w:r w:rsidRPr="005A4ABD">
        <w:rPr>
          <w:rFonts w:eastAsia="MS ??"/>
        </w:rPr>
        <w:tab/>
        <w:t>Insurance Coverage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6: Benefits and Resources, 6.1 Insurance Coverage&#10;"/>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6.1.1 </w:t>
            </w:r>
            <w:r>
              <w:rPr>
                <w:rFonts w:ascii="Book Antiqua" w:eastAsia="MS ????" w:hAnsi="Book Antiqua" w:cs="Cambria"/>
                <w:spacing w:val="-2"/>
                <w:sz w:val="20"/>
                <w:szCs w:val="20"/>
              </w:rPr>
              <w:tab/>
            </w:r>
            <w:r w:rsidRPr="006679EA">
              <w:rPr>
                <w:rFonts w:ascii="Book Antiqua" w:eastAsia="MS ????" w:hAnsi="Book Antiqua" w:cs="Cambria"/>
                <w:spacing w:val="-2"/>
                <w:sz w:val="20"/>
                <w:szCs w:val="20"/>
              </w:rPr>
              <w:t>Does the IDT understand what is meant by dual eligible coverage and the demographics of this population, and in particular the older consumer within this distinct group?</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6.1.2</w:t>
            </w:r>
            <w:r w:rsidRPr="006679EA">
              <w:rPr>
                <w:rFonts w:ascii="Book Antiqua" w:eastAsia="MS ????" w:hAnsi="Book Antiqua" w:cs="Cambria"/>
                <w:spacing w:val="-2"/>
                <w:sz w:val="20"/>
                <w:szCs w:val="20"/>
              </w:rPr>
              <w:tab/>
              <w:t xml:space="preserve">Is staff knowledgeable generally of the different types of Medicare eligibility and the various eligibility categories for Medicaid?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6.1.3 Is staff knowledgeable of whom and where to refer Medicare-Medicaid enrollees for explanations and understanding of their Medicare coverage as well as their Medicaid policy?</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spacing w:val="-2"/>
                <w:sz w:val="20"/>
                <w:szCs w:val="20"/>
              </w:rPr>
              <w:t>6.1.4</w:t>
            </w:r>
            <w:r w:rsidRPr="006679EA">
              <w:rPr>
                <w:rFonts w:ascii="Book Antiqua" w:eastAsia="MS ????" w:hAnsi="Book Antiqua" w:cs="Cambria"/>
                <w:spacing w:val="-2"/>
                <w:sz w:val="20"/>
                <w:szCs w:val="20"/>
              </w:rPr>
              <w:tab/>
              <w:t>Is staff knowledgeable at a general level about how supplemental insurance options help provide coverage for older consumers?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pPr>
      <w:r w:rsidRPr="005A4ABD">
        <w:t>6.2</w:t>
      </w:r>
      <w:r w:rsidRPr="005A4ABD">
        <w:tab/>
        <w:t xml:space="preserve">Benefits, Services, </w:t>
      </w:r>
      <w:r>
        <w:t>a</w:t>
      </w:r>
      <w:r w:rsidRPr="005A4ABD">
        <w:t xml:space="preserve">nd Programs Available </w:t>
      </w:r>
      <w:r>
        <w:t>t</w:t>
      </w:r>
      <w:r w:rsidRPr="005A4ABD">
        <w:t>o Medicare-Medicaid Beneficiaries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6: Benefits and Resources, 6.2 Benefits, Services, and Programs Available to Medicare-Medicaid Beneficiaries"/>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6.2.1</w:t>
            </w:r>
            <w:r w:rsidRPr="006679EA">
              <w:rPr>
                <w:rFonts w:ascii="Book Antiqua" w:eastAsia="MS ????" w:hAnsi="Book Antiqua" w:cs="Cambria"/>
                <w:bCs/>
                <w:spacing w:val="-2"/>
                <w:sz w:val="20"/>
                <w:szCs w:val="20"/>
              </w:rPr>
              <w:tab/>
              <w:t>Is staff generally knowledgeable about Medicaid benefits, regardless of what state administers the program?</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6.2.2</w:t>
            </w:r>
            <w:r w:rsidRPr="006679EA">
              <w:rPr>
                <w:rFonts w:ascii="Book Antiqua" w:eastAsia="MS ????" w:hAnsi="Book Antiqua" w:cs="Cambria"/>
                <w:bCs/>
                <w:spacing w:val="-2"/>
                <w:sz w:val="20"/>
                <w:szCs w:val="20"/>
              </w:rPr>
              <w:tab/>
              <w:t>Is staff able to refer older consumers to resources to assist them in understanding Medicaid benefits specific to your state?</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6.2.3</w:t>
            </w:r>
            <w:r w:rsidRPr="006679EA">
              <w:rPr>
                <w:rFonts w:ascii="Book Antiqua" w:eastAsia="MS ????" w:hAnsi="Book Antiqua" w:cs="Cambria"/>
                <w:bCs/>
                <w:spacing w:val="-2"/>
                <w:sz w:val="20"/>
                <w:szCs w:val="20"/>
              </w:rPr>
              <w:tab/>
              <w:t>Can providers help older consumers understand which services may not be covered under your state’s Medicaid programs?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pPr>
      <w:r w:rsidRPr="005A4ABD">
        <w:t>6.3</w:t>
      </w:r>
      <w:r w:rsidRPr="005A4ABD">
        <w:tab/>
        <w:t xml:space="preserve">Managed Care, Incentives </w:t>
      </w:r>
      <w:r>
        <w:t>a</w:t>
      </w:r>
      <w:r w:rsidRPr="005A4ABD">
        <w:t xml:space="preserve">nd Value-Adds  </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6: Benefits and Resources, 6.3 Managed Care, Incentives and Value-Adds"/>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6.3.1</w:t>
            </w:r>
            <w:r w:rsidRPr="006679EA">
              <w:rPr>
                <w:rFonts w:ascii="Book Antiqua" w:eastAsia="MS ????" w:hAnsi="Book Antiqua" w:cs="Cambria"/>
                <w:bCs/>
                <w:spacing w:val="-2"/>
                <w:sz w:val="20"/>
                <w:szCs w:val="20"/>
              </w:rPr>
              <w:tab/>
              <w:t xml:space="preserve">Does the provider understand the role of managed care and how to work with the managed care organization to facilitate optimal care and services for the older consumer?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6.3.2</w:t>
            </w:r>
            <w:r w:rsidRPr="006679EA">
              <w:rPr>
                <w:rFonts w:ascii="Book Antiqua" w:eastAsia="MS ????" w:hAnsi="Book Antiqua" w:cs="Cambria"/>
                <w:bCs/>
                <w:spacing w:val="-2"/>
                <w:sz w:val="20"/>
                <w:szCs w:val="20"/>
              </w:rPr>
              <w:tab/>
              <w:t>Is the provider knowledgeable about ‘value-</w:t>
            </w:r>
            <w:proofErr w:type="gramStart"/>
            <w:r w:rsidRPr="006679EA">
              <w:rPr>
                <w:rFonts w:ascii="Book Antiqua" w:eastAsia="MS ????" w:hAnsi="Book Antiqua" w:cs="Cambria"/>
                <w:bCs/>
                <w:spacing w:val="-2"/>
                <w:sz w:val="20"/>
                <w:szCs w:val="20"/>
              </w:rPr>
              <w:t>adds</w:t>
            </w:r>
            <w:proofErr w:type="gramEnd"/>
            <w:r w:rsidRPr="006679EA">
              <w:rPr>
                <w:rFonts w:ascii="Book Antiqua" w:eastAsia="MS ????" w:hAnsi="Book Antiqua" w:cs="Cambria"/>
                <w:bCs/>
                <w:spacing w:val="-2"/>
                <w:sz w:val="20"/>
                <w:szCs w:val="20"/>
              </w:rPr>
              <w:t>’ available to his/her older consumer from the consumer’s managed care companies?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6.3.3</w:t>
            </w:r>
            <w:r w:rsidRPr="006679EA">
              <w:rPr>
                <w:rFonts w:ascii="Book Antiqua" w:eastAsia="MS ????" w:hAnsi="Book Antiqua" w:cs="Cambria"/>
                <w:bCs/>
                <w:spacing w:val="-2"/>
                <w:sz w:val="20"/>
                <w:szCs w:val="20"/>
              </w:rPr>
              <w:tab/>
              <w:t>Is the provider aware of incentives available from managed care companies for their members?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Pr="005A4ABD" w:rsidRDefault="005A4ABD" w:rsidP="005A4ABD">
      <w:pPr>
        <w:pStyle w:val="Heading2"/>
      </w:pPr>
      <w:r w:rsidRPr="005A4ABD">
        <w:t>6.4</w:t>
      </w:r>
      <w:r w:rsidRPr="005A4ABD">
        <w:tab/>
        <w:t>Pharmaceutical Assistance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6: Benefits and Resources, 6.4 Pharmaceutical Assistance"/>
      </w:tblPr>
      <w:tblGrid>
        <w:gridCol w:w="4878"/>
        <w:gridCol w:w="2214"/>
        <w:gridCol w:w="2646"/>
      </w:tblGrid>
      <w:tr w:rsidR="005A4ABD" w:rsidRPr="006679EA" w:rsidTr="005A4ABD">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C47693" w:rsidRPr="006679EA" w:rsidTr="005A4ABD">
        <w:trPr>
          <w:cantSplit/>
        </w:trPr>
        <w:tc>
          <w:tcPr>
            <w:tcW w:w="4878" w:type="dxa"/>
            <w:vAlign w:val="center"/>
          </w:tcPr>
          <w:p w:rsidR="00C47693" w:rsidRPr="006679EA" w:rsidRDefault="00C47693" w:rsidP="00D777D2">
            <w:pPr>
              <w:keepNext/>
              <w:keepLines/>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6.4.1</w:t>
            </w:r>
            <w:r w:rsidRPr="006679EA">
              <w:rPr>
                <w:rFonts w:ascii="Book Antiqua" w:eastAsia="MS ????" w:hAnsi="Book Antiqua" w:cs="Cambria"/>
                <w:bCs/>
                <w:spacing w:val="-2"/>
                <w:sz w:val="20"/>
                <w:szCs w:val="20"/>
              </w:rPr>
              <w:tab/>
              <w:t>Do providers understand what pharmaceutical assistance is provided under Medicare and Medicaid?</w:t>
            </w:r>
          </w:p>
        </w:tc>
        <w:tc>
          <w:tcPr>
            <w:tcW w:w="2214" w:type="dxa"/>
            <w:vAlign w:val="center"/>
          </w:tcPr>
          <w:p w:rsidR="00C47693" w:rsidRPr="006679EA" w:rsidRDefault="00C47693" w:rsidP="00D777D2">
            <w:pPr>
              <w:keepNext/>
              <w:keepLines/>
              <w:widowControl w:val="0"/>
              <w:rPr>
                <w:rFonts w:ascii="Book Antiqua" w:eastAsia="MS ??" w:hAnsi="Book Antiqua" w:cs="Calibri"/>
                <w:smallCaps/>
                <w:spacing w:val="-2"/>
                <w:sz w:val="20"/>
                <w:szCs w:val="20"/>
              </w:rPr>
            </w:pPr>
          </w:p>
        </w:tc>
        <w:tc>
          <w:tcPr>
            <w:tcW w:w="2646" w:type="dxa"/>
            <w:vAlign w:val="center"/>
          </w:tcPr>
          <w:p w:rsidR="00C47693" w:rsidRPr="006679EA" w:rsidRDefault="00C47693" w:rsidP="00D777D2">
            <w:pPr>
              <w:keepNext/>
              <w:keepLines/>
              <w:widowControl w:val="0"/>
              <w:rPr>
                <w:rFonts w:ascii="Book Antiqua" w:eastAsia="MS ??" w:hAnsi="Book Antiqua" w:cs="Calibri"/>
                <w:smallCaps/>
                <w:spacing w:val="-2"/>
                <w:sz w:val="20"/>
                <w:szCs w:val="20"/>
              </w:rPr>
            </w:pPr>
          </w:p>
        </w:tc>
      </w:tr>
      <w:tr w:rsidR="00C47693" w:rsidRPr="006679EA" w:rsidTr="005A4ABD">
        <w:trPr>
          <w:cantSplit/>
        </w:trPr>
        <w:tc>
          <w:tcPr>
            <w:tcW w:w="4878" w:type="dxa"/>
            <w:vAlign w:val="center"/>
          </w:tcPr>
          <w:p w:rsidR="00C47693" w:rsidRPr="006679EA" w:rsidRDefault="00C47693"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6.4.2</w:t>
            </w:r>
            <w:r w:rsidRPr="006679EA">
              <w:rPr>
                <w:rFonts w:ascii="Book Antiqua" w:eastAsia="MS ????" w:hAnsi="Book Antiqua" w:cs="Cambria"/>
                <w:bCs/>
                <w:spacing w:val="-2"/>
                <w:sz w:val="20"/>
                <w:szCs w:val="20"/>
              </w:rPr>
              <w:tab/>
              <w:t>Do providers consider Medicare Part D drug coverage when developing treatment plans?</w:t>
            </w:r>
          </w:p>
        </w:tc>
        <w:tc>
          <w:tcPr>
            <w:tcW w:w="2214"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646"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r w:rsidR="00C47693" w:rsidRPr="006679EA" w:rsidTr="005A4ABD">
        <w:trPr>
          <w:cantSplit/>
        </w:trPr>
        <w:tc>
          <w:tcPr>
            <w:tcW w:w="4878" w:type="dxa"/>
            <w:vAlign w:val="center"/>
          </w:tcPr>
          <w:p w:rsidR="00C47693" w:rsidRPr="006679EA" w:rsidRDefault="00C47693"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6.4.3</w:t>
            </w:r>
            <w:r w:rsidRPr="006679EA">
              <w:rPr>
                <w:rFonts w:ascii="Book Antiqua" w:eastAsia="MS ????" w:hAnsi="Book Antiqua" w:cs="Cambria"/>
                <w:bCs/>
                <w:spacing w:val="-2"/>
                <w:sz w:val="20"/>
                <w:szCs w:val="20"/>
              </w:rPr>
              <w:tab/>
              <w:t>Do providers optimize therapeutic strategies that do not rely on pharmaceuticals?</w:t>
            </w:r>
          </w:p>
        </w:tc>
        <w:tc>
          <w:tcPr>
            <w:tcW w:w="2214"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646"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r w:rsidR="00C47693" w:rsidRPr="006679EA" w:rsidTr="005A4ABD">
        <w:trPr>
          <w:cantSplit/>
        </w:trPr>
        <w:tc>
          <w:tcPr>
            <w:tcW w:w="4878" w:type="dxa"/>
            <w:vAlign w:val="center"/>
          </w:tcPr>
          <w:p w:rsidR="00C47693" w:rsidRPr="006679EA" w:rsidRDefault="00C47693"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6.4.4</w:t>
            </w:r>
            <w:r w:rsidRPr="006679EA">
              <w:rPr>
                <w:rFonts w:ascii="Book Antiqua" w:eastAsia="MS ????" w:hAnsi="Book Antiqua" w:cs="Cambria"/>
                <w:bCs/>
                <w:spacing w:val="-2"/>
                <w:sz w:val="20"/>
                <w:szCs w:val="20"/>
              </w:rPr>
              <w:tab/>
              <w:t>Does the provider know of, and facilitate the knowledge by the older consumer of, additional financial assistance available from pharmaceutical companies?</w:t>
            </w:r>
          </w:p>
        </w:tc>
        <w:tc>
          <w:tcPr>
            <w:tcW w:w="2214"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646"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bl>
    <w:p w:rsidR="0085085F" w:rsidRDefault="0085085F">
      <w:pPr>
        <w:rPr>
          <w:rFonts w:ascii="Book Antiqua" w:eastAsia="MS ????" w:hAnsi="Book Antiqua" w:cs="Cambria"/>
          <w:b/>
          <w:bCs/>
          <w:color w:val="31849B"/>
          <w:spacing w:val="-2"/>
          <w:sz w:val="28"/>
          <w:szCs w:val="26"/>
        </w:rPr>
      </w:pPr>
      <w:r>
        <w:rPr>
          <w:rFonts w:ascii="Book Antiqua" w:eastAsia="MS ????" w:hAnsi="Book Antiqua" w:cs="Cambria"/>
          <w:b/>
          <w:bCs/>
          <w:color w:val="31849B"/>
          <w:spacing w:val="-2"/>
          <w:sz w:val="28"/>
          <w:szCs w:val="26"/>
        </w:rPr>
        <w:br w:type="page"/>
      </w:r>
    </w:p>
    <w:p w:rsidR="0085085F" w:rsidRDefault="005A4ABD" w:rsidP="00727E1C">
      <w:pPr>
        <w:pStyle w:val="Heading1"/>
        <w:rPr>
          <w:rFonts w:eastAsia="MS ??"/>
        </w:rPr>
      </w:pPr>
      <w:r>
        <w:rPr>
          <w:rFonts w:eastAsia="MS ??"/>
        </w:rPr>
        <w:t>Domain 7:</w:t>
      </w:r>
      <w:r>
        <w:rPr>
          <w:rFonts w:eastAsia="MS ??"/>
        </w:rPr>
        <w:tab/>
      </w:r>
      <w:r w:rsidR="0085085F" w:rsidRPr="002E0432">
        <w:rPr>
          <w:rFonts w:eastAsia="MS ??"/>
        </w:rPr>
        <w:t>F</w:t>
      </w:r>
      <w:r w:rsidR="000D0B3D" w:rsidRPr="002E0432">
        <w:rPr>
          <w:rFonts w:eastAsia="MS ??"/>
        </w:rPr>
        <w:t xml:space="preserve">inancial and Legal Issues </w:t>
      </w:r>
    </w:p>
    <w:p w:rsidR="005A4ABD" w:rsidRDefault="005A4ABD" w:rsidP="005A4ABD">
      <w:pPr>
        <w:pStyle w:val="Heading2"/>
        <w:spacing w:before="0"/>
        <w:rPr>
          <w:rFonts w:eastAsia="MS ??"/>
        </w:rPr>
      </w:pPr>
      <w:r w:rsidRPr="005A4ABD">
        <w:rPr>
          <w:rFonts w:eastAsia="MS ??"/>
        </w:rPr>
        <w:t xml:space="preserve">7.1 </w:t>
      </w:r>
      <w:r w:rsidRPr="005A4ABD">
        <w:rPr>
          <w:rFonts w:eastAsia="MS ??"/>
        </w:rPr>
        <w:tab/>
        <w:t xml:space="preserve">Financial </w:t>
      </w:r>
      <w:r>
        <w:rPr>
          <w:rFonts w:eastAsia="MS ??"/>
        </w:rPr>
        <w:t>a</w:t>
      </w:r>
      <w:r w:rsidRPr="005A4ABD">
        <w:rPr>
          <w:rFonts w:eastAsia="MS ??"/>
        </w:rPr>
        <w:t>nd Environmental Support</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1 Financial and Environmental Support&#10;"/>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7.1.1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resources or resource points of contact to assist consumers with transportation that is not medically related?</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7.1.2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resources or points of contact for resources to assist geriatric consumers with housing and utilities?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7.1.3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resources or points of contact to assist consumers with meals or nutritional supplements?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7.1.4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resources to assist older consumers with other services, supports, and incidentals that are generally not covered by Medicare, Medicaid, and other Home and Community Based Services (HCBS)?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spacing w:val="-2"/>
                <w:sz w:val="20"/>
                <w:szCs w:val="20"/>
              </w:rPr>
              <w:t xml:space="preserve">7.1.5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condition-specific resources that may assist older consumers and their caregivers to meet their financial needs?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rPr>
          <w:rFonts w:eastAsia="MS ??"/>
        </w:rPr>
      </w:pPr>
      <w:r w:rsidRPr="005A4ABD">
        <w:rPr>
          <w:rFonts w:eastAsia="MS ??"/>
        </w:rPr>
        <w:t>7.2</w:t>
      </w:r>
      <w:r w:rsidRPr="005A4ABD">
        <w:rPr>
          <w:rFonts w:eastAsia="MS ??"/>
        </w:rPr>
        <w:tab/>
        <w:t>Legal Issues</w:t>
      </w:r>
    </w:p>
    <w:p w:rsidR="005A4ABD" w:rsidRDefault="005A4ABD" w:rsidP="005A4ABD">
      <w:pPr>
        <w:pStyle w:val="Heading3"/>
        <w:rPr>
          <w:rFonts w:eastAsia="MS ??"/>
        </w:rPr>
      </w:pPr>
      <w:proofErr w:type="gramStart"/>
      <w:r w:rsidRPr="005A4ABD">
        <w:rPr>
          <w:rFonts w:eastAsia="MS ??"/>
        </w:rPr>
        <w:t>7.2.1  Guardianship</w:t>
      </w:r>
      <w:proofErr w:type="gramEnd"/>
      <w:r w:rsidRPr="005A4ABD">
        <w:rPr>
          <w:rFonts w:eastAsia="MS ??"/>
        </w:rPr>
        <w:t xml:space="preserve"> and Incapacity Determination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2 Legal Issues, 7.2.1 Guardianship and Incapacity Determination"/>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7.2.1.1</w:t>
            </w:r>
            <w:r w:rsidRPr="006679EA">
              <w:rPr>
                <w:rFonts w:ascii="Book Antiqua" w:eastAsia="MS ????" w:hAnsi="Book Antiqua" w:cs="Cambria"/>
                <w:bCs/>
                <w:spacing w:val="-2"/>
                <w:sz w:val="20"/>
                <w:szCs w:val="20"/>
              </w:rPr>
              <w:tab/>
              <w:t>Does the IDT understand the legal process for determining if a consumer is incapacitated and requesting the appointment of a guardian?</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7.2.1.1</w:t>
            </w:r>
            <w:r w:rsidRPr="006679EA">
              <w:rPr>
                <w:rFonts w:ascii="Book Antiqua" w:eastAsia="MS ????" w:hAnsi="Book Antiqua" w:cs="Cambria"/>
                <w:bCs/>
                <w:spacing w:val="-2"/>
                <w:sz w:val="20"/>
                <w:szCs w:val="20"/>
              </w:rPr>
              <w:tab/>
              <w:t>Are there protocols in place to ensure continuity of care for the consumer in the event that a guardian is appointed?</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3"/>
        <w:rPr>
          <w:rFonts w:eastAsia="MS ??"/>
        </w:rPr>
      </w:pPr>
      <w:r w:rsidRPr="005A4ABD">
        <w:rPr>
          <w:rFonts w:eastAsia="MS ??"/>
        </w:rPr>
        <w:t>7.2.2 Ombudsman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2 Legal Issues, 7.2.2 Ombudsman"/>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 xml:space="preserve">7.2.2.1 </w:t>
            </w:r>
            <w:r w:rsidRPr="006679EA">
              <w:rPr>
                <w:rFonts w:ascii="Book Antiqua" w:eastAsia="MS ????" w:hAnsi="Book Antiqua" w:cs="Cambria"/>
                <w:bCs/>
                <w:spacing w:val="-2"/>
                <w:sz w:val="20"/>
                <w:szCs w:val="20"/>
              </w:rPr>
              <w:tab/>
              <w:t>Is the IDT able to help consumers connect with their ombudsman to resolve problems with their payer or long-term care facility?</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3"/>
        <w:rPr>
          <w:rFonts w:eastAsia="MS ??"/>
        </w:rPr>
      </w:pPr>
      <w:r w:rsidRPr="005A4ABD">
        <w:rPr>
          <w:rFonts w:eastAsia="MS ??"/>
        </w:rPr>
        <w:t>7.2.3 Advance Directives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2 Legal Issues, 7.2.3 Advance Directives"/>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7.2.3.1</w:t>
            </w:r>
            <w:r w:rsidRPr="006679EA">
              <w:rPr>
                <w:rFonts w:ascii="Book Antiqua" w:eastAsia="MS ????" w:hAnsi="Book Antiqua" w:cs="Cambria"/>
                <w:bCs/>
                <w:spacing w:val="-2"/>
                <w:sz w:val="20"/>
                <w:szCs w:val="20"/>
              </w:rPr>
              <w:tab/>
              <w:t>Does IDT staff know whom to contact or refer the older consumer to, for assistance with a living will, durable power of attorney for health care, and/or durable power of attorney for mental health care?</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7.2.3.2</w:t>
            </w:r>
            <w:r w:rsidRPr="006679EA">
              <w:rPr>
                <w:rFonts w:ascii="Book Antiqua" w:eastAsia="MS ????" w:hAnsi="Book Antiqua" w:cs="Cambria"/>
                <w:bCs/>
                <w:spacing w:val="-2"/>
                <w:sz w:val="20"/>
                <w:szCs w:val="20"/>
              </w:rPr>
              <w:tab/>
              <w:t>Does the IDT know how to assess the appropriate time to institute a living will, durable power of attorney for health care, or durable power of attorney for mental health care?</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Pr="002E0432" w:rsidRDefault="005A4ABD" w:rsidP="005A4ABD">
      <w:pPr>
        <w:pStyle w:val="Heading3"/>
        <w:rPr>
          <w:rFonts w:eastAsia="MS ??"/>
        </w:rPr>
      </w:pPr>
      <w:r w:rsidRPr="005A4ABD">
        <w:rPr>
          <w:rFonts w:eastAsia="MS ??"/>
        </w:rPr>
        <w:t xml:space="preserve">7.2.4. Health Insurance Portability and Accountability Act  </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2 Legal Issues, 7.2.4 Health Insurance Portability and Accountablity Act"/>
      </w:tblPr>
      <w:tblGrid>
        <w:gridCol w:w="4878"/>
        <w:gridCol w:w="2214"/>
        <w:gridCol w:w="2646"/>
      </w:tblGrid>
      <w:tr w:rsidR="005A4ABD" w:rsidRPr="006679EA" w:rsidTr="005A4ABD">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85085F" w:rsidRPr="006679EA" w:rsidTr="005A4ABD">
        <w:trPr>
          <w:cantSplit/>
        </w:trPr>
        <w:tc>
          <w:tcPr>
            <w:tcW w:w="4878" w:type="dxa"/>
            <w:vAlign w:val="center"/>
          </w:tcPr>
          <w:p w:rsidR="0085085F" w:rsidRPr="006679EA" w:rsidRDefault="0085085F" w:rsidP="00D777D2">
            <w:pPr>
              <w:keepNext/>
              <w:keepLines/>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 xml:space="preserve">7.2.4.1 </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knowledgeable about HIPAA Title II regulations regarding consumer PHI?</w:t>
            </w:r>
          </w:p>
        </w:tc>
        <w:tc>
          <w:tcPr>
            <w:tcW w:w="2214" w:type="dxa"/>
            <w:vAlign w:val="center"/>
          </w:tcPr>
          <w:p w:rsidR="0085085F" w:rsidRPr="006679EA" w:rsidRDefault="0085085F" w:rsidP="00D777D2">
            <w:pPr>
              <w:keepNext/>
              <w:keepLines/>
              <w:widowControl w:val="0"/>
              <w:rPr>
                <w:rFonts w:ascii="Book Antiqua" w:eastAsia="MS ??" w:hAnsi="Book Antiqua" w:cs="Calibri"/>
                <w:smallCaps/>
                <w:spacing w:val="-2"/>
                <w:sz w:val="20"/>
                <w:szCs w:val="20"/>
              </w:rPr>
            </w:pPr>
          </w:p>
        </w:tc>
        <w:tc>
          <w:tcPr>
            <w:tcW w:w="2646" w:type="dxa"/>
            <w:vAlign w:val="center"/>
          </w:tcPr>
          <w:p w:rsidR="0085085F" w:rsidRPr="006679EA" w:rsidRDefault="0085085F" w:rsidP="00D777D2">
            <w:pPr>
              <w:keepNext/>
              <w:keepLines/>
              <w:widowControl w:val="0"/>
              <w:rPr>
                <w:rFonts w:ascii="Book Antiqua" w:eastAsia="MS ??" w:hAnsi="Book Antiqua" w:cs="Calibri"/>
                <w:smallCaps/>
                <w:spacing w:val="-2"/>
                <w:sz w:val="20"/>
                <w:szCs w:val="20"/>
              </w:rPr>
            </w:pPr>
          </w:p>
        </w:tc>
      </w:tr>
      <w:tr w:rsidR="0085085F" w:rsidRPr="006679EA" w:rsidTr="005A4ABD">
        <w:trPr>
          <w:cantSplit/>
        </w:trPr>
        <w:tc>
          <w:tcPr>
            <w:tcW w:w="4878" w:type="dxa"/>
            <w:vAlign w:val="center"/>
          </w:tcPr>
          <w:p w:rsidR="0085085F" w:rsidRPr="006679EA" w:rsidRDefault="000D0B3D"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7.2.4.2</w:t>
            </w:r>
            <w:r w:rsidRPr="006679EA">
              <w:rPr>
                <w:rFonts w:ascii="Book Antiqua" w:eastAsia="MS ????" w:hAnsi="Book Antiqua" w:cs="Cambria"/>
                <w:bCs/>
                <w:spacing w:val="-2"/>
                <w:sz w:val="20"/>
                <w:szCs w:val="20"/>
              </w:rPr>
              <w:tab/>
            </w:r>
            <w:r w:rsidR="0085085F" w:rsidRPr="006679EA">
              <w:rPr>
                <w:rFonts w:ascii="Book Antiqua" w:eastAsia="MS ????" w:hAnsi="Book Antiqua" w:cs="Cambria"/>
                <w:bCs/>
                <w:spacing w:val="-2"/>
                <w:sz w:val="20"/>
                <w:szCs w:val="20"/>
              </w:rPr>
              <w:t>Do IDT staff honor and facilitate the release of PHI to the consumer?</w:t>
            </w:r>
          </w:p>
        </w:tc>
        <w:tc>
          <w:tcPr>
            <w:tcW w:w="2214" w:type="dxa"/>
            <w:vAlign w:val="center"/>
          </w:tcPr>
          <w:p w:rsidR="0085085F" w:rsidRPr="006679EA" w:rsidRDefault="0085085F" w:rsidP="006679EA">
            <w:pPr>
              <w:widowControl w:val="0"/>
              <w:rPr>
                <w:rFonts w:ascii="Book Antiqua" w:eastAsia="MS ??" w:hAnsi="Book Antiqua" w:cs="Calibri"/>
                <w:smallCaps/>
                <w:spacing w:val="-2"/>
                <w:sz w:val="20"/>
                <w:szCs w:val="20"/>
              </w:rPr>
            </w:pPr>
          </w:p>
        </w:tc>
        <w:tc>
          <w:tcPr>
            <w:tcW w:w="2646" w:type="dxa"/>
            <w:vAlign w:val="center"/>
          </w:tcPr>
          <w:p w:rsidR="0085085F" w:rsidRPr="006679EA" w:rsidRDefault="0085085F" w:rsidP="006679EA">
            <w:pPr>
              <w:widowControl w:val="0"/>
              <w:rPr>
                <w:rFonts w:ascii="Book Antiqua" w:eastAsia="MS ??" w:hAnsi="Book Antiqua" w:cs="Calibri"/>
                <w:smallCaps/>
                <w:spacing w:val="-2"/>
                <w:sz w:val="20"/>
                <w:szCs w:val="20"/>
              </w:rPr>
            </w:pPr>
          </w:p>
        </w:tc>
      </w:tr>
    </w:tbl>
    <w:p w:rsidR="00B51ECB" w:rsidRDefault="00B51ECB" w:rsidP="00E248F9">
      <w:pPr>
        <w:spacing w:after="120" w:line="240" w:lineRule="auto"/>
        <w:ind w:firstLine="720"/>
        <w:rPr>
          <w:rFonts w:ascii="Book Antiqua" w:eastAsia="MS ????" w:hAnsi="Book Antiqua" w:cs="Cambria"/>
          <w:b/>
          <w:bCs/>
          <w:color w:val="31849B"/>
          <w:sz w:val="28"/>
          <w:szCs w:val="32"/>
        </w:rPr>
      </w:pPr>
    </w:p>
    <w:p w:rsidR="0085085F" w:rsidRDefault="0085085F">
      <w:pPr>
        <w:rPr>
          <w:rFonts w:ascii="Book Antiqua" w:eastAsia="MS ??" w:hAnsi="Book Antiqua" w:cs="Calibri"/>
          <w:b/>
          <w:smallCaps/>
          <w:color w:val="5F497A"/>
          <w:spacing w:val="-2"/>
          <w:sz w:val="56"/>
          <w:szCs w:val="56"/>
        </w:rPr>
      </w:pPr>
      <w:r>
        <w:rPr>
          <w:rFonts w:ascii="Book Antiqua" w:eastAsia="MS ??" w:hAnsi="Book Antiqua" w:cs="Calibri"/>
          <w:b/>
          <w:smallCaps/>
          <w:color w:val="5F497A"/>
          <w:spacing w:val="-2"/>
          <w:sz w:val="56"/>
          <w:szCs w:val="56"/>
        </w:rPr>
        <w:br w:type="page"/>
      </w:r>
    </w:p>
    <w:p w:rsidR="0085085F" w:rsidRDefault="005A4ABD" w:rsidP="00727E1C">
      <w:pPr>
        <w:pStyle w:val="Heading1"/>
        <w:rPr>
          <w:rFonts w:eastAsia="MS ??"/>
        </w:rPr>
      </w:pPr>
      <w:r>
        <w:rPr>
          <w:rFonts w:eastAsia="MS ??"/>
        </w:rPr>
        <w:t>Domain 8:</w:t>
      </w:r>
      <w:r>
        <w:rPr>
          <w:rFonts w:eastAsia="MS ??"/>
        </w:rPr>
        <w:tab/>
      </w:r>
      <w:r w:rsidR="000D0B3D" w:rsidRPr="002E0432">
        <w:rPr>
          <w:rFonts w:eastAsia="MS ??"/>
        </w:rPr>
        <w:t>Geriatric Assessment</w:t>
      </w:r>
    </w:p>
    <w:p w:rsidR="005A4ABD" w:rsidRDefault="005A4ABD" w:rsidP="005A4ABD">
      <w:pPr>
        <w:pStyle w:val="Heading2"/>
        <w:spacing w:before="0"/>
        <w:rPr>
          <w:rFonts w:eastAsia="MS ??"/>
        </w:rPr>
      </w:pPr>
      <w:r w:rsidRPr="005A4ABD">
        <w:rPr>
          <w:rFonts w:eastAsia="MS ??"/>
        </w:rPr>
        <w:t>8.1</w:t>
      </w:r>
      <w:r w:rsidRPr="005A4ABD">
        <w:rPr>
          <w:rFonts w:eastAsia="MS ??"/>
        </w:rPr>
        <w:tab/>
        <w:t xml:space="preserve">Assessment </w:t>
      </w:r>
      <w:r>
        <w:rPr>
          <w:rFonts w:eastAsia="MS ??"/>
        </w:rPr>
        <w:t>a</w:t>
      </w:r>
      <w:r w:rsidRPr="005A4ABD">
        <w:rPr>
          <w:rFonts w:eastAsia="MS ??"/>
        </w:rPr>
        <w:t>nd Approach</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8:  Geriatric Assessment, &#10;8.1 Assessment and Approach&#10;"/>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8.1.1</w:t>
            </w:r>
            <w:r w:rsidRPr="006679EA">
              <w:rPr>
                <w:rFonts w:ascii="Book Antiqua" w:eastAsia="MS ????" w:hAnsi="Book Antiqua" w:cs="Cambria"/>
                <w:spacing w:val="-2"/>
                <w:sz w:val="20"/>
                <w:szCs w:val="20"/>
              </w:rPr>
              <w:tab/>
              <w:t xml:space="preserve">Are clinical environments accessible to geriatric consumers?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8.1.2</w:t>
            </w:r>
            <w:r w:rsidRPr="006679EA">
              <w:rPr>
                <w:rFonts w:ascii="Book Antiqua" w:eastAsia="MS ????" w:hAnsi="Book Antiqua" w:cs="Cambria"/>
                <w:spacing w:val="-2"/>
                <w:sz w:val="20"/>
                <w:szCs w:val="20"/>
              </w:rPr>
              <w:tab/>
              <w:t xml:space="preserve">Are clinical environments comfortable for geriatric consumers?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8.1.3</w:t>
            </w:r>
            <w:r w:rsidRPr="006679EA">
              <w:rPr>
                <w:rFonts w:ascii="Book Antiqua" w:eastAsia="MS ????" w:hAnsi="Book Antiqua" w:cs="Cambria"/>
                <w:spacing w:val="-2"/>
                <w:sz w:val="20"/>
                <w:szCs w:val="20"/>
              </w:rPr>
              <w:tab/>
              <w:t xml:space="preserve">Can providers manage geriatric cross-cultural interactions?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spacing w:val="-2"/>
                <w:sz w:val="20"/>
                <w:szCs w:val="20"/>
              </w:rPr>
              <w:t xml:space="preserve">8.1.4 </w:t>
            </w:r>
            <w:r>
              <w:rPr>
                <w:rFonts w:ascii="Book Antiqua" w:eastAsia="MS ????" w:hAnsi="Book Antiqua" w:cs="Cambria"/>
                <w:spacing w:val="-2"/>
                <w:sz w:val="20"/>
                <w:szCs w:val="20"/>
              </w:rPr>
              <w:tab/>
            </w:r>
            <w:r w:rsidRPr="006679EA">
              <w:rPr>
                <w:rFonts w:ascii="Book Antiqua" w:eastAsia="MS ????" w:hAnsi="Book Antiqua" w:cs="Cambria"/>
                <w:spacing w:val="-2"/>
                <w:sz w:val="20"/>
                <w:szCs w:val="20"/>
              </w:rPr>
              <w:t>Do providers strive to gain the trust of the older consumer?</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8.1.5</w:t>
            </w:r>
            <w:r w:rsidRPr="006679EA">
              <w:rPr>
                <w:rFonts w:ascii="Book Antiqua" w:eastAsia="MS ????" w:hAnsi="Book Antiqua" w:cs="Cambria"/>
                <w:bCs/>
                <w:spacing w:val="-2"/>
                <w:sz w:val="20"/>
                <w:szCs w:val="20"/>
              </w:rPr>
              <w:tab/>
              <w:t xml:space="preserve">Can providers select an appropriate interpreter if necessary?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8.1.6</w:t>
            </w:r>
            <w:r w:rsidRPr="006679EA">
              <w:rPr>
                <w:rFonts w:ascii="Book Antiqua" w:eastAsia="MS ????" w:hAnsi="Book Antiqua" w:cs="Cambria"/>
                <w:bCs/>
                <w:spacing w:val="-2"/>
                <w:sz w:val="20"/>
                <w:szCs w:val="20"/>
              </w:rPr>
              <w:tab/>
              <w:t xml:space="preserve">Do providers use respectful and appropriate non-verbal communication?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8.1.7</w:t>
            </w:r>
            <w:r w:rsidRPr="006679EA">
              <w:rPr>
                <w:rFonts w:ascii="Book Antiqua" w:eastAsia="MS ????" w:hAnsi="Book Antiqua" w:cs="Cambria"/>
                <w:bCs/>
                <w:spacing w:val="-2"/>
                <w:sz w:val="20"/>
                <w:szCs w:val="20"/>
              </w:rPr>
              <w:tab/>
              <w:t xml:space="preserve">Are providers capable of conducting an </w:t>
            </w:r>
            <w:proofErr w:type="spellStart"/>
            <w:r w:rsidRPr="006679EA">
              <w:rPr>
                <w:rFonts w:ascii="Book Antiqua" w:eastAsia="MS ????" w:hAnsi="Book Antiqua" w:cs="Cambria"/>
                <w:bCs/>
                <w:spacing w:val="-2"/>
                <w:sz w:val="20"/>
                <w:szCs w:val="20"/>
              </w:rPr>
              <w:t>ethnogeriatric</w:t>
            </w:r>
            <w:proofErr w:type="spellEnd"/>
            <w:r w:rsidRPr="006679EA">
              <w:rPr>
                <w:rFonts w:ascii="Book Antiqua" w:eastAsia="MS ????" w:hAnsi="Book Antiqua" w:cs="Cambria"/>
                <w:bCs/>
                <w:spacing w:val="-2"/>
                <w:sz w:val="20"/>
                <w:szCs w:val="20"/>
              </w:rPr>
              <w:t xml:space="preserve"> assessment?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8.1.8</w:t>
            </w:r>
            <w:r w:rsidRPr="006679EA">
              <w:rPr>
                <w:rFonts w:ascii="Book Antiqua" w:eastAsia="MS ????" w:hAnsi="Book Antiqua" w:cs="Cambria"/>
                <w:bCs/>
                <w:spacing w:val="-2"/>
                <w:sz w:val="20"/>
                <w:szCs w:val="20"/>
              </w:rPr>
              <w:tab/>
              <w:t xml:space="preserve">Do providers conduct family assessments?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8.1.9</w:t>
            </w:r>
            <w:r w:rsidRPr="006679EA">
              <w:rPr>
                <w:rFonts w:ascii="Book Antiqua" w:eastAsia="MS ????" w:hAnsi="Book Antiqua" w:cs="Cambria"/>
                <w:bCs/>
                <w:spacing w:val="-2"/>
                <w:sz w:val="20"/>
                <w:szCs w:val="20"/>
              </w:rPr>
              <w:tab/>
              <w:t xml:space="preserve">Do providers conduct home assessments?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 xml:space="preserve">8.1.10 </w:t>
            </w:r>
            <w:r>
              <w:rPr>
                <w:rFonts w:ascii="Book Antiqua" w:eastAsia="MS ????" w:hAnsi="Book Antiqua" w:cs="Cambria"/>
                <w:bCs/>
                <w:spacing w:val="-2"/>
                <w:sz w:val="20"/>
                <w:szCs w:val="20"/>
              </w:rPr>
              <w:tab/>
            </w:r>
            <w:r w:rsidRPr="006679EA">
              <w:rPr>
                <w:rFonts w:ascii="Book Antiqua" w:eastAsia="MS ????" w:hAnsi="Book Antiqua" w:cs="Cambria"/>
                <w:bCs/>
                <w:spacing w:val="-2"/>
                <w:sz w:val="20"/>
                <w:szCs w:val="20"/>
              </w:rPr>
              <w:t>Are providers sensitive to cultural differences when conducting physical exams?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 xml:space="preserve">8.1.11 </w:t>
            </w:r>
            <w:r>
              <w:rPr>
                <w:rFonts w:ascii="Book Antiqua" w:eastAsia="MS ????" w:hAnsi="Book Antiqua" w:cs="Cambria"/>
                <w:bCs/>
                <w:spacing w:val="-2"/>
                <w:sz w:val="20"/>
                <w:szCs w:val="20"/>
              </w:rPr>
              <w:tab/>
            </w:r>
            <w:r w:rsidRPr="006679EA">
              <w:rPr>
                <w:rFonts w:ascii="Book Antiqua" w:eastAsia="MS ????" w:hAnsi="Book Antiqua" w:cs="Cambria"/>
                <w:bCs/>
                <w:spacing w:val="-2"/>
                <w:sz w:val="20"/>
                <w:szCs w:val="20"/>
              </w:rPr>
              <w:t xml:space="preserve">Do providers assess and discuss end-of-life preferences?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rPr>
          <w:rFonts w:eastAsia="MS ??"/>
        </w:rPr>
      </w:pPr>
      <w:r w:rsidRPr="005A4ABD">
        <w:rPr>
          <w:rFonts w:eastAsia="MS ??"/>
        </w:rPr>
        <w:t>8.2</w:t>
      </w:r>
      <w:r w:rsidRPr="005A4ABD">
        <w:rPr>
          <w:rFonts w:eastAsia="MS ??"/>
        </w:rPr>
        <w:tab/>
        <w:t xml:space="preserve">Conducting Assessments </w:t>
      </w:r>
      <w:r>
        <w:rPr>
          <w:rFonts w:eastAsia="MS ??"/>
        </w:rPr>
        <w:t>a</w:t>
      </w:r>
      <w:r w:rsidRPr="005A4ABD">
        <w:rPr>
          <w:rFonts w:eastAsia="MS ??"/>
        </w:rPr>
        <w:t>nd Screening Tools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8:  Geriatric Assessment, &#10;8.2 Conducting Assessments and Screening Tools"/>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8.2.1</w:t>
            </w:r>
            <w:r w:rsidRPr="006679EA">
              <w:rPr>
                <w:rFonts w:ascii="Book Antiqua" w:eastAsia="MS ????" w:hAnsi="Book Antiqua" w:cs="Cambria"/>
                <w:bCs/>
                <w:spacing w:val="-2"/>
                <w:sz w:val="20"/>
                <w:szCs w:val="20"/>
              </w:rPr>
              <w:tab/>
              <w:t xml:space="preserve">Are assessment tools and forms appropriate for geriatric consumers of all educational levels?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8.2.2</w:t>
            </w:r>
            <w:r w:rsidRPr="006679EA">
              <w:rPr>
                <w:rFonts w:ascii="Book Antiqua" w:eastAsia="MS ????" w:hAnsi="Book Antiqua" w:cs="Cambria"/>
                <w:bCs/>
                <w:spacing w:val="-2"/>
                <w:sz w:val="20"/>
                <w:szCs w:val="20"/>
              </w:rPr>
              <w:tab/>
              <w:t xml:space="preserve">Are assessment tools and forms appropriate for geriatric consumers with visual impairment?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8.2.3</w:t>
            </w:r>
            <w:r w:rsidRPr="006679EA">
              <w:rPr>
                <w:rFonts w:ascii="Book Antiqua" w:eastAsia="MS ????" w:hAnsi="Book Antiqua" w:cs="Cambria"/>
                <w:bCs/>
                <w:spacing w:val="-2"/>
                <w:sz w:val="20"/>
                <w:szCs w:val="20"/>
              </w:rPr>
              <w:tab/>
              <w:t>Are translated materials available and adequate?</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8.2.4</w:t>
            </w:r>
            <w:r w:rsidRPr="006679EA">
              <w:rPr>
                <w:rFonts w:ascii="Book Antiqua" w:eastAsia="MS ????" w:hAnsi="Book Antiqua" w:cs="Cambria"/>
                <w:bCs/>
                <w:spacing w:val="-2"/>
                <w:sz w:val="20"/>
                <w:szCs w:val="20"/>
              </w:rPr>
              <w:tab/>
              <w:t>Do providers make use of culturally-appropriate assessment measures?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rPr>
          <w:rFonts w:eastAsia="MS ??"/>
        </w:rPr>
      </w:pPr>
      <w:r w:rsidRPr="005A4ABD">
        <w:rPr>
          <w:rFonts w:eastAsia="MS ??"/>
        </w:rPr>
        <w:t>8.3</w:t>
      </w:r>
      <w:r w:rsidRPr="005A4ABD">
        <w:rPr>
          <w:rFonts w:eastAsia="MS ??"/>
        </w:rPr>
        <w:tab/>
        <w:t>Appropriate Prescribing</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8:  Geriatric Assessment, &#10;8.3 Appropriate Prescribing"/>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8.3.1</w:t>
            </w:r>
            <w:r w:rsidRPr="006679EA">
              <w:rPr>
                <w:rFonts w:ascii="Book Antiqua" w:eastAsia="MS ????" w:hAnsi="Book Antiqua" w:cs="Cambria"/>
                <w:bCs/>
                <w:spacing w:val="-2"/>
                <w:sz w:val="20"/>
                <w:szCs w:val="20"/>
              </w:rPr>
              <w:tab/>
              <w:t xml:space="preserve">Do providers consider age-related body changes and comorbidities when prescribing?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8.3.2</w:t>
            </w:r>
            <w:r w:rsidRPr="006679EA">
              <w:rPr>
                <w:rFonts w:ascii="Book Antiqua" w:eastAsia="MS ????" w:hAnsi="Book Antiqua" w:cs="Cambria"/>
                <w:bCs/>
                <w:spacing w:val="-2"/>
                <w:sz w:val="20"/>
                <w:szCs w:val="20"/>
              </w:rPr>
              <w:tab/>
              <w:t xml:space="preserve">Do providers take necessary precautions to avoid adverse drug events?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8.3.3</w:t>
            </w:r>
            <w:r w:rsidRPr="006679EA">
              <w:rPr>
                <w:rFonts w:ascii="Book Antiqua" w:eastAsia="MS ????" w:hAnsi="Book Antiqua" w:cs="Cambria"/>
                <w:bCs/>
                <w:spacing w:val="-2"/>
                <w:sz w:val="20"/>
                <w:szCs w:val="20"/>
              </w:rPr>
              <w:tab/>
              <w:t xml:space="preserve">Are providers familiar with the most current Beers criteria? </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8.3.4</w:t>
            </w:r>
            <w:r w:rsidRPr="006679EA">
              <w:rPr>
                <w:rFonts w:ascii="Book Antiqua" w:eastAsia="MS ????" w:hAnsi="Book Antiqua" w:cs="Cambria"/>
                <w:bCs/>
                <w:spacing w:val="-2"/>
                <w:sz w:val="20"/>
                <w:szCs w:val="20"/>
              </w:rPr>
              <w:tab/>
              <w:t>Do members of the IDT routinely review a consumer’s medications?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Pr="002E0432" w:rsidRDefault="005A4ABD" w:rsidP="005A4ABD">
      <w:pPr>
        <w:pStyle w:val="Heading2"/>
        <w:rPr>
          <w:rFonts w:eastAsia="MS ??"/>
        </w:rPr>
      </w:pPr>
      <w:r w:rsidRPr="005A4ABD">
        <w:rPr>
          <w:rFonts w:eastAsia="MS ??"/>
        </w:rPr>
        <w:t>8.4</w:t>
      </w:r>
      <w:r w:rsidRPr="005A4ABD">
        <w:rPr>
          <w:rFonts w:eastAsia="MS ??"/>
        </w:rPr>
        <w:tab/>
        <w:t>Preventative Care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8:  Geriatric Assessment, &#10;8.4 Preventive Care"/>
      </w:tblPr>
      <w:tblGrid>
        <w:gridCol w:w="4878"/>
        <w:gridCol w:w="2214"/>
        <w:gridCol w:w="2646"/>
      </w:tblGrid>
      <w:tr w:rsidR="005A4ABD" w:rsidRPr="006679EA" w:rsidTr="005A4ABD">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B7EBD" w:rsidRPr="006679EA" w:rsidTr="005A4ABD">
        <w:trPr>
          <w:cantSplit/>
        </w:trPr>
        <w:tc>
          <w:tcPr>
            <w:tcW w:w="4878" w:type="dxa"/>
            <w:vAlign w:val="center"/>
          </w:tcPr>
          <w:p w:rsidR="005B7EBD" w:rsidRPr="006679EA" w:rsidRDefault="005B7EBD"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8.4.1</w:t>
            </w:r>
            <w:r w:rsidRPr="006679EA">
              <w:rPr>
                <w:rFonts w:ascii="Book Antiqua" w:eastAsia="MS ????" w:hAnsi="Book Antiqua" w:cs="Cambria"/>
                <w:bCs/>
                <w:spacing w:val="-2"/>
                <w:sz w:val="20"/>
                <w:szCs w:val="20"/>
              </w:rPr>
              <w:tab/>
              <w:t>Are providers aware of which preventative care services are covered under Medicare?</w:t>
            </w:r>
          </w:p>
        </w:tc>
        <w:tc>
          <w:tcPr>
            <w:tcW w:w="2214" w:type="dxa"/>
            <w:vAlign w:val="center"/>
          </w:tcPr>
          <w:p w:rsidR="005B7EBD" w:rsidRPr="006679EA" w:rsidRDefault="005B7EBD" w:rsidP="006679EA">
            <w:pPr>
              <w:widowControl w:val="0"/>
              <w:rPr>
                <w:rFonts w:ascii="Book Antiqua" w:eastAsia="MS ??" w:hAnsi="Book Antiqua" w:cs="Calibri"/>
                <w:smallCaps/>
                <w:spacing w:val="-2"/>
                <w:sz w:val="20"/>
                <w:szCs w:val="20"/>
              </w:rPr>
            </w:pPr>
          </w:p>
        </w:tc>
        <w:tc>
          <w:tcPr>
            <w:tcW w:w="2646" w:type="dxa"/>
            <w:vAlign w:val="center"/>
          </w:tcPr>
          <w:p w:rsidR="005B7EBD" w:rsidRPr="006679EA" w:rsidRDefault="005B7EBD" w:rsidP="006679EA">
            <w:pPr>
              <w:widowControl w:val="0"/>
              <w:rPr>
                <w:rFonts w:ascii="Book Antiqua" w:eastAsia="MS ??" w:hAnsi="Book Antiqua" w:cs="Calibri"/>
                <w:smallCaps/>
                <w:spacing w:val="-2"/>
                <w:sz w:val="20"/>
                <w:szCs w:val="20"/>
              </w:rPr>
            </w:pPr>
          </w:p>
        </w:tc>
      </w:tr>
      <w:tr w:rsidR="005B7EBD" w:rsidRPr="006679EA" w:rsidTr="005A4ABD">
        <w:trPr>
          <w:cantSplit/>
        </w:trPr>
        <w:tc>
          <w:tcPr>
            <w:tcW w:w="4878" w:type="dxa"/>
            <w:vAlign w:val="center"/>
          </w:tcPr>
          <w:p w:rsidR="005B7EBD" w:rsidRPr="006679EA" w:rsidRDefault="005B7EBD"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8.4.2</w:t>
            </w:r>
            <w:r w:rsidRPr="006679EA">
              <w:rPr>
                <w:rFonts w:ascii="Book Antiqua" w:eastAsia="MS ????" w:hAnsi="Book Antiqua" w:cs="Cambria"/>
                <w:bCs/>
                <w:spacing w:val="-2"/>
                <w:sz w:val="20"/>
                <w:szCs w:val="20"/>
              </w:rPr>
              <w:tab/>
              <w:t>Are providers familiar with the national coverage determination process?</w:t>
            </w:r>
          </w:p>
        </w:tc>
        <w:tc>
          <w:tcPr>
            <w:tcW w:w="2214" w:type="dxa"/>
            <w:vAlign w:val="center"/>
          </w:tcPr>
          <w:p w:rsidR="005B7EBD" w:rsidRPr="006679EA" w:rsidRDefault="005B7EBD" w:rsidP="006679EA">
            <w:pPr>
              <w:widowControl w:val="0"/>
              <w:rPr>
                <w:rFonts w:ascii="Book Antiqua" w:eastAsia="MS ??" w:hAnsi="Book Antiqua" w:cs="Calibri"/>
                <w:smallCaps/>
                <w:spacing w:val="-2"/>
                <w:sz w:val="20"/>
                <w:szCs w:val="20"/>
              </w:rPr>
            </w:pPr>
          </w:p>
        </w:tc>
        <w:tc>
          <w:tcPr>
            <w:tcW w:w="2646" w:type="dxa"/>
            <w:vAlign w:val="center"/>
          </w:tcPr>
          <w:p w:rsidR="005B7EBD" w:rsidRPr="006679EA" w:rsidRDefault="005B7EBD" w:rsidP="006679EA">
            <w:pPr>
              <w:widowControl w:val="0"/>
              <w:rPr>
                <w:rFonts w:ascii="Book Antiqua" w:eastAsia="MS ??" w:hAnsi="Book Antiqua" w:cs="Calibri"/>
                <w:smallCaps/>
                <w:spacing w:val="-2"/>
                <w:sz w:val="20"/>
                <w:szCs w:val="20"/>
              </w:rPr>
            </w:pPr>
          </w:p>
        </w:tc>
      </w:tr>
      <w:tr w:rsidR="005B7EBD" w:rsidRPr="006679EA" w:rsidTr="005A4ABD">
        <w:trPr>
          <w:cantSplit/>
        </w:trPr>
        <w:tc>
          <w:tcPr>
            <w:tcW w:w="4878" w:type="dxa"/>
            <w:vAlign w:val="center"/>
          </w:tcPr>
          <w:p w:rsidR="005B7EBD" w:rsidRPr="006679EA" w:rsidRDefault="005B7EBD"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8.4.3</w:t>
            </w:r>
            <w:r w:rsidRPr="006679EA">
              <w:rPr>
                <w:rFonts w:ascii="Book Antiqua" w:eastAsia="MS ????" w:hAnsi="Book Antiqua" w:cs="Cambria"/>
                <w:bCs/>
                <w:spacing w:val="-2"/>
                <w:sz w:val="20"/>
                <w:szCs w:val="20"/>
              </w:rPr>
              <w:tab/>
              <w:t>Are providers familiar with the U.S. Preventative Services Task Force (USPSTF)?</w:t>
            </w:r>
          </w:p>
        </w:tc>
        <w:tc>
          <w:tcPr>
            <w:tcW w:w="2214" w:type="dxa"/>
            <w:vAlign w:val="center"/>
          </w:tcPr>
          <w:p w:rsidR="005B7EBD" w:rsidRPr="006679EA" w:rsidRDefault="005B7EBD" w:rsidP="006679EA">
            <w:pPr>
              <w:widowControl w:val="0"/>
              <w:rPr>
                <w:rFonts w:ascii="Book Antiqua" w:eastAsia="MS ??" w:hAnsi="Book Antiqua" w:cs="Calibri"/>
                <w:smallCaps/>
                <w:spacing w:val="-2"/>
                <w:sz w:val="20"/>
                <w:szCs w:val="20"/>
              </w:rPr>
            </w:pPr>
          </w:p>
        </w:tc>
        <w:tc>
          <w:tcPr>
            <w:tcW w:w="2646" w:type="dxa"/>
            <w:vAlign w:val="center"/>
          </w:tcPr>
          <w:p w:rsidR="005B7EBD" w:rsidRPr="006679EA" w:rsidRDefault="005B7EBD" w:rsidP="006679EA">
            <w:pPr>
              <w:widowControl w:val="0"/>
              <w:rPr>
                <w:rFonts w:ascii="Book Antiqua" w:eastAsia="MS ??" w:hAnsi="Book Antiqua" w:cs="Calibri"/>
                <w:smallCaps/>
                <w:spacing w:val="-2"/>
                <w:sz w:val="20"/>
                <w:szCs w:val="20"/>
              </w:rPr>
            </w:pPr>
          </w:p>
        </w:tc>
      </w:tr>
      <w:tr w:rsidR="005B7EBD" w:rsidRPr="006679EA" w:rsidTr="005A4ABD">
        <w:trPr>
          <w:cantSplit/>
        </w:trPr>
        <w:tc>
          <w:tcPr>
            <w:tcW w:w="4878" w:type="dxa"/>
            <w:vAlign w:val="center"/>
          </w:tcPr>
          <w:p w:rsidR="005B7EBD" w:rsidRPr="006679EA" w:rsidRDefault="005B7EBD"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8.4.4</w:t>
            </w:r>
            <w:r w:rsidRPr="006679EA">
              <w:rPr>
                <w:rFonts w:ascii="Book Antiqua" w:eastAsia="MS ????" w:hAnsi="Book Antiqua" w:cs="Cambria"/>
                <w:bCs/>
                <w:spacing w:val="-2"/>
                <w:sz w:val="20"/>
                <w:szCs w:val="20"/>
              </w:rPr>
              <w:tab/>
              <w:t>Do providers recommend annual physical or wellness exams?</w:t>
            </w:r>
          </w:p>
        </w:tc>
        <w:tc>
          <w:tcPr>
            <w:tcW w:w="2214" w:type="dxa"/>
            <w:vAlign w:val="center"/>
          </w:tcPr>
          <w:p w:rsidR="005B7EBD" w:rsidRPr="006679EA" w:rsidRDefault="005B7EBD" w:rsidP="006679EA">
            <w:pPr>
              <w:widowControl w:val="0"/>
              <w:rPr>
                <w:rFonts w:ascii="Book Antiqua" w:eastAsia="MS ??" w:hAnsi="Book Antiqua" w:cs="Calibri"/>
                <w:smallCaps/>
                <w:spacing w:val="-2"/>
                <w:sz w:val="20"/>
                <w:szCs w:val="20"/>
              </w:rPr>
            </w:pPr>
          </w:p>
        </w:tc>
        <w:tc>
          <w:tcPr>
            <w:tcW w:w="2646" w:type="dxa"/>
            <w:vAlign w:val="center"/>
          </w:tcPr>
          <w:p w:rsidR="005B7EBD" w:rsidRPr="006679EA" w:rsidRDefault="005B7EBD" w:rsidP="006679EA">
            <w:pPr>
              <w:widowControl w:val="0"/>
              <w:rPr>
                <w:rFonts w:ascii="Book Antiqua" w:eastAsia="MS ??" w:hAnsi="Book Antiqua" w:cs="Calibri"/>
                <w:smallCaps/>
                <w:spacing w:val="-2"/>
                <w:sz w:val="20"/>
                <w:szCs w:val="20"/>
              </w:rPr>
            </w:pPr>
          </w:p>
        </w:tc>
      </w:tr>
      <w:tr w:rsidR="005B7EBD" w:rsidRPr="006679EA" w:rsidTr="005A4ABD">
        <w:trPr>
          <w:cantSplit/>
        </w:trPr>
        <w:tc>
          <w:tcPr>
            <w:tcW w:w="4878" w:type="dxa"/>
            <w:vAlign w:val="center"/>
          </w:tcPr>
          <w:p w:rsidR="005B7EBD" w:rsidRPr="006679EA" w:rsidRDefault="005B7EBD"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8.4.5</w:t>
            </w:r>
            <w:r w:rsidRPr="006679EA">
              <w:rPr>
                <w:rFonts w:ascii="Book Antiqua" w:eastAsia="MS ????" w:hAnsi="Book Antiqua" w:cs="Cambria"/>
                <w:bCs/>
                <w:spacing w:val="-2"/>
                <w:sz w:val="20"/>
                <w:szCs w:val="20"/>
              </w:rPr>
              <w:tab/>
              <w:t>Do providers prescribe preventative OTC medications?</w:t>
            </w:r>
          </w:p>
        </w:tc>
        <w:tc>
          <w:tcPr>
            <w:tcW w:w="2214" w:type="dxa"/>
            <w:vAlign w:val="center"/>
          </w:tcPr>
          <w:p w:rsidR="005B7EBD" w:rsidRPr="006679EA" w:rsidRDefault="005B7EBD" w:rsidP="006679EA">
            <w:pPr>
              <w:widowControl w:val="0"/>
              <w:rPr>
                <w:rFonts w:ascii="Book Antiqua" w:eastAsia="MS ??" w:hAnsi="Book Antiqua" w:cs="Calibri"/>
                <w:smallCaps/>
                <w:spacing w:val="-2"/>
                <w:sz w:val="20"/>
                <w:szCs w:val="20"/>
              </w:rPr>
            </w:pPr>
          </w:p>
        </w:tc>
        <w:tc>
          <w:tcPr>
            <w:tcW w:w="2646" w:type="dxa"/>
            <w:vAlign w:val="center"/>
          </w:tcPr>
          <w:p w:rsidR="005B7EBD" w:rsidRPr="006679EA" w:rsidRDefault="005B7EBD" w:rsidP="006679EA">
            <w:pPr>
              <w:widowControl w:val="0"/>
              <w:rPr>
                <w:rFonts w:ascii="Book Antiqua" w:eastAsia="MS ??" w:hAnsi="Book Antiqua" w:cs="Calibri"/>
                <w:smallCaps/>
                <w:spacing w:val="-2"/>
                <w:sz w:val="20"/>
                <w:szCs w:val="20"/>
              </w:rPr>
            </w:pPr>
          </w:p>
        </w:tc>
      </w:tr>
      <w:tr w:rsidR="005B7EBD" w:rsidRPr="006679EA" w:rsidTr="005A4ABD">
        <w:trPr>
          <w:cantSplit/>
        </w:trPr>
        <w:tc>
          <w:tcPr>
            <w:tcW w:w="4878" w:type="dxa"/>
            <w:vAlign w:val="center"/>
          </w:tcPr>
          <w:p w:rsidR="005B7EBD" w:rsidRPr="006679EA" w:rsidRDefault="005B7EBD"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8.4.6</w:t>
            </w:r>
            <w:r w:rsidRPr="006679EA">
              <w:rPr>
                <w:rFonts w:ascii="Book Antiqua" w:eastAsia="MS ????" w:hAnsi="Book Antiqua" w:cs="Cambria"/>
                <w:bCs/>
                <w:spacing w:val="-2"/>
                <w:sz w:val="20"/>
                <w:szCs w:val="20"/>
              </w:rPr>
              <w:tab/>
              <w:t>Do providers monitor immunization records?</w:t>
            </w:r>
          </w:p>
        </w:tc>
        <w:tc>
          <w:tcPr>
            <w:tcW w:w="2214" w:type="dxa"/>
            <w:vAlign w:val="center"/>
          </w:tcPr>
          <w:p w:rsidR="005B7EBD" w:rsidRPr="006679EA" w:rsidRDefault="005B7EBD" w:rsidP="006679EA">
            <w:pPr>
              <w:widowControl w:val="0"/>
              <w:rPr>
                <w:rFonts w:ascii="Book Antiqua" w:eastAsia="MS ??" w:hAnsi="Book Antiqua" w:cs="Calibri"/>
                <w:smallCaps/>
                <w:spacing w:val="-2"/>
                <w:sz w:val="20"/>
                <w:szCs w:val="20"/>
              </w:rPr>
            </w:pPr>
          </w:p>
        </w:tc>
        <w:tc>
          <w:tcPr>
            <w:tcW w:w="2646" w:type="dxa"/>
            <w:vAlign w:val="center"/>
          </w:tcPr>
          <w:p w:rsidR="005B7EBD" w:rsidRPr="006679EA" w:rsidRDefault="005B7EBD" w:rsidP="006679EA">
            <w:pPr>
              <w:widowControl w:val="0"/>
              <w:rPr>
                <w:rFonts w:ascii="Book Antiqua" w:eastAsia="MS ??" w:hAnsi="Book Antiqua" w:cs="Calibri"/>
                <w:smallCaps/>
                <w:spacing w:val="-2"/>
                <w:sz w:val="20"/>
                <w:szCs w:val="20"/>
              </w:rPr>
            </w:pPr>
          </w:p>
        </w:tc>
      </w:tr>
    </w:tbl>
    <w:p w:rsidR="0085085F" w:rsidRPr="00E248F9" w:rsidRDefault="0085085F" w:rsidP="0085085F">
      <w:pPr>
        <w:keepNext/>
        <w:spacing w:after="120" w:line="240" w:lineRule="auto"/>
        <w:ind w:left="1440" w:hanging="720"/>
        <w:outlineLvl w:val="1"/>
        <w:rPr>
          <w:rFonts w:ascii="Book Antiqua" w:eastAsia="MS ????" w:hAnsi="Book Antiqua" w:cs="Cambria"/>
          <w:b/>
          <w:bCs/>
          <w:color w:val="31849B"/>
          <w:spacing w:val="-2"/>
          <w:sz w:val="28"/>
          <w:szCs w:val="26"/>
        </w:rPr>
      </w:pPr>
    </w:p>
    <w:p w:rsidR="00AD71FB" w:rsidRDefault="00AD71FB" w:rsidP="00154811">
      <w:pPr>
        <w:spacing w:after="120" w:line="240" w:lineRule="auto"/>
        <w:rPr>
          <w:rFonts w:ascii="Book Antiqua" w:hAnsi="Book Antiqua"/>
        </w:rPr>
      </w:pPr>
    </w:p>
    <w:sectPr w:rsidR="00AD71FB" w:rsidSect="00E72147">
      <w:footerReference w:type="default" r:id="rId10"/>
      <w:pgSz w:w="12240" w:h="15840"/>
      <w:pgMar w:top="1440" w:right="1440" w:bottom="1440" w:left="1440" w:header="720" w:footer="720"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DE" w:rsidRDefault="00D030DE" w:rsidP="001F2ED3">
      <w:pPr>
        <w:spacing w:after="0" w:line="240" w:lineRule="auto"/>
      </w:pPr>
      <w:r>
        <w:separator/>
      </w:r>
    </w:p>
  </w:endnote>
  <w:endnote w:type="continuationSeparator" w:id="0">
    <w:p w:rsidR="00D030DE" w:rsidRDefault="00D030DE" w:rsidP="001F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DE" w:rsidRDefault="00D030DE">
    <w:pPr>
      <w:pStyle w:val="Footer"/>
      <w:jc w:val="right"/>
    </w:pPr>
  </w:p>
  <w:p w:rsidR="00D030DE" w:rsidRDefault="00D03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40377"/>
      <w:docPartObj>
        <w:docPartGallery w:val="Page Numbers (Bottom of Page)"/>
        <w:docPartUnique/>
      </w:docPartObj>
    </w:sdtPr>
    <w:sdtEndPr>
      <w:rPr>
        <w:noProof/>
      </w:rPr>
    </w:sdtEndPr>
    <w:sdtContent>
      <w:p w:rsidR="00D030DE" w:rsidRDefault="00D030DE" w:rsidP="002E0432">
        <w:pPr>
          <w:pStyle w:val="Footer"/>
          <w:jc w:val="right"/>
        </w:pPr>
        <w:r>
          <w:fldChar w:fldCharType="begin"/>
        </w:r>
        <w:r>
          <w:instrText xml:space="preserve"> PAGE   \* MERGEFORMAT </w:instrText>
        </w:r>
        <w:r>
          <w:fldChar w:fldCharType="separate"/>
        </w:r>
        <w:r w:rsidR="00FC25D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DE" w:rsidRDefault="00D030DE" w:rsidP="001F2ED3">
      <w:pPr>
        <w:spacing w:after="0" w:line="240" w:lineRule="auto"/>
      </w:pPr>
      <w:r>
        <w:separator/>
      </w:r>
    </w:p>
  </w:footnote>
  <w:footnote w:type="continuationSeparator" w:id="0">
    <w:p w:rsidR="00D030DE" w:rsidRDefault="00D030DE" w:rsidP="001F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7CAF"/>
    <w:multiLevelType w:val="hybridMultilevel"/>
    <w:tmpl w:val="4E244D54"/>
    <w:lvl w:ilvl="0" w:tplc="EE9A2BDA">
      <w:start w:val="1"/>
      <w:numFmt w:val="bullet"/>
      <w:pStyle w:val="Bullet1"/>
      <w:lvlText w:val=""/>
      <w:lvlJc w:val="left"/>
      <w:pPr>
        <w:ind w:left="342" w:hanging="360"/>
      </w:pPr>
      <w:rPr>
        <w:rFonts w:ascii="Wingdings 2" w:hAnsi="Wingdings 2"/>
        <w:b w:val="0"/>
        <w:i w:val="0"/>
        <w:caps w:val="0"/>
        <w:strike w:val="0"/>
        <w:dstrike w:val="0"/>
        <w:vanish w:val="0"/>
        <w:color w:val="31849B"/>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F5E4296">
      <w:start w:val="1"/>
      <w:numFmt w:val="bullet"/>
      <w:lvlText w:val="o"/>
      <w:lvlJc w:val="left"/>
      <w:pPr>
        <w:ind w:left="1440" w:hanging="360"/>
      </w:pPr>
      <w:rPr>
        <w:rFonts w:ascii="Courier New" w:hAnsi="Courier New"/>
      </w:rPr>
    </w:lvl>
    <w:lvl w:ilvl="2" w:tplc="D1706544">
      <w:start w:val="1"/>
      <w:numFmt w:val="bullet"/>
      <w:lvlText w:val=""/>
      <w:lvlJc w:val="left"/>
      <w:pPr>
        <w:ind w:left="2160" w:hanging="360"/>
      </w:pPr>
      <w:rPr>
        <w:rFonts w:ascii="Wingdings" w:hAnsi="Wingdings"/>
      </w:rPr>
    </w:lvl>
    <w:lvl w:ilvl="3" w:tplc="7646C070">
      <w:start w:val="1"/>
      <w:numFmt w:val="bullet"/>
      <w:lvlText w:val=""/>
      <w:lvlJc w:val="left"/>
      <w:pPr>
        <w:ind w:left="2880" w:hanging="360"/>
      </w:pPr>
      <w:rPr>
        <w:rFonts w:ascii="Symbol" w:hAnsi="Symbol"/>
      </w:rPr>
    </w:lvl>
    <w:lvl w:ilvl="4" w:tplc="3768E574">
      <w:start w:val="1"/>
      <w:numFmt w:val="bullet"/>
      <w:lvlText w:val="o"/>
      <w:lvlJc w:val="left"/>
      <w:pPr>
        <w:ind w:left="3600" w:hanging="360"/>
      </w:pPr>
      <w:rPr>
        <w:rFonts w:ascii="Courier New" w:hAnsi="Courier New"/>
      </w:rPr>
    </w:lvl>
    <w:lvl w:ilvl="5" w:tplc="520E59AA">
      <w:start w:val="1"/>
      <w:numFmt w:val="bullet"/>
      <w:lvlText w:val=""/>
      <w:lvlJc w:val="left"/>
      <w:pPr>
        <w:ind w:left="4320" w:hanging="360"/>
      </w:pPr>
      <w:rPr>
        <w:rFonts w:ascii="Wingdings" w:hAnsi="Wingdings"/>
      </w:rPr>
    </w:lvl>
    <w:lvl w:ilvl="6" w:tplc="40E856FA">
      <w:start w:val="1"/>
      <w:numFmt w:val="bullet"/>
      <w:lvlText w:val=""/>
      <w:lvlJc w:val="left"/>
      <w:pPr>
        <w:ind w:left="5040" w:hanging="360"/>
      </w:pPr>
      <w:rPr>
        <w:rFonts w:ascii="Symbol" w:hAnsi="Symbol"/>
      </w:rPr>
    </w:lvl>
    <w:lvl w:ilvl="7" w:tplc="055CED4E">
      <w:start w:val="1"/>
      <w:numFmt w:val="bullet"/>
      <w:lvlText w:val="o"/>
      <w:lvlJc w:val="left"/>
      <w:pPr>
        <w:ind w:left="5760" w:hanging="360"/>
      </w:pPr>
      <w:rPr>
        <w:rFonts w:ascii="Courier New" w:hAnsi="Courier New"/>
      </w:rPr>
    </w:lvl>
    <w:lvl w:ilvl="8" w:tplc="64DE1C92">
      <w:start w:val="1"/>
      <w:numFmt w:val="bullet"/>
      <w:lvlText w:val=""/>
      <w:lvlJc w:val="left"/>
      <w:pPr>
        <w:ind w:left="6480" w:hanging="360"/>
      </w:pPr>
      <w:rPr>
        <w:rFonts w:ascii="Wingdings" w:hAnsi="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3"/>
    <w:rsid w:val="000008F5"/>
    <w:rsid w:val="00000BF2"/>
    <w:rsid w:val="00003477"/>
    <w:rsid w:val="000106DE"/>
    <w:rsid w:val="00011511"/>
    <w:rsid w:val="00011F0F"/>
    <w:rsid w:val="00025201"/>
    <w:rsid w:val="00027FEC"/>
    <w:rsid w:val="000363B4"/>
    <w:rsid w:val="00051529"/>
    <w:rsid w:val="00067AB6"/>
    <w:rsid w:val="00070122"/>
    <w:rsid w:val="00073ED3"/>
    <w:rsid w:val="000757B1"/>
    <w:rsid w:val="00076598"/>
    <w:rsid w:val="00082C69"/>
    <w:rsid w:val="00093BCF"/>
    <w:rsid w:val="00094438"/>
    <w:rsid w:val="000A17D0"/>
    <w:rsid w:val="000A6F42"/>
    <w:rsid w:val="000B1616"/>
    <w:rsid w:val="000B18D9"/>
    <w:rsid w:val="000B36AB"/>
    <w:rsid w:val="000C2A46"/>
    <w:rsid w:val="000C715D"/>
    <w:rsid w:val="000D0B3D"/>
    <w:rsid w:val="000D324C"/>
    <w:rsid w:val="000D3F30"/>
    <w:rsid w:val="000D62F3"/>
    <w:rsid w:val="000D6A91"/>
    <w:rsid w:val="000D7855"/>
    <w:rsid w:val="000E21DB"/>
    <w:rsid w:val="000E43A7"/>
    <w:rsid w:val="000E4A37"/>
    <w:rsid w:val="000F2CF8"/>
    <w:rsid w:val="000F3EDC"/>
    <w:rsid w:val="00105F12"/>
    <w:rsid w:val="00114EEF"/>
    <w:rsid w:val="00115255"/>
    <w:rsid w:val="001234B7"/>
    <w:rsid w:val="001245EC"/>
    <w:rsid w:val="001252F2"/>
    <w:rsid w:val="0012590F"/>
    <w:rsid w:val="00127DE5"/>
    <w:rsid w:val="00135D3A"/>
    <w:rsid w:val="001467E1"/>
    <w:rsid w:val="00150870"/>
    <w:rsid w:val="00151F44"/>
    <w:rsid w:val="001523B5"/>
    <w:rsid w:val="00154811"/>
    <w:rsid w:val="00156B09"/>
    <w:rsid w:val="00167069"/>
    <w:rsid w:val="001746B2"/>
    <w:rsid w:val="0017704A"/>
    <w:rsid w:val="00181FAA"/>
    <w:rsid w:val="00186591"/>
    <w:rsid w:val="00195351"/>
    <w:rsid w:val="001960CC"/>
    <w:rsid w:val="001A3911"/>
    <w:rsid w:val="001B12AF"/>
    <w:rsid w:val="001B22B8"/>
    <w:rsid w:val="001C0277"/>
    <w:rsid w:val="001C45AA"/>
    <w:rsid w:val="001D3EB8"/>
    <w:rsid w:val="001D784B"/>
    <w:rsid w:val="001E1D6E"/>
    <w:rsid w:val="001E259D"/>
    <w:rsid w:val="001E368C"/>
    <w:rsid w:val="001F1710"/>
    <w:rsid w:val="001F2ED3"/>
    <w:rsid w:val="001F3775"/>
    <w:rsid w:val="001F4E2E"/>
    <w:rsid w:val="00202F89"/>
    <w:rsid w:val="00206170"/>
    <w:rsid w:val="00210960"/>
    <w:rsid w:val="002128F5"/>
    <w:rsid w:val="00215E38"/>
    <w:rsid w:val="00216E29"/>
    <w:rsid w:val="00220E5C"/>
    <w:rsid w:val="002237C9"/>
    <w:rsid w:val="002342FF"/>
    <w:rsid w:val="002366C6"/>
    <w:rsid w:val="0024055A"/>
    <w:rsid w:val="0024071E"/>
    <w:rsid w:val="00241E7E"/>
    <w:rsid w:val="002440B5"/>
    <w:rsid w:val="002529C3"/>
    <w:rsid w:val="00260F6C"/>
    <w:rsid w:val="00273733"/>
    <w:rsid w:val="00277B84"/>
    <w:rsid w:val="002822FE"/>
    <w:rsid w:val="0028641F"/>
    <w:rsid w:val="00286F10"/>
    <w:rsid w:val="002A4F2E"/>
    <w:rsid w:val="002A7E07"/>
    <w:rsid w:val="002D5570"/>
    <w:rsid w:val="002D61D2"/>
    <w:rsid w:val="002D6A7C"/>
    <w:rsid w:val="002E0432"/>
    <w:rsid w:val="002E0CAE"/>
    <w:rsid w:val="002F21E0"/>
    <w:rsid w:val="002F5E43"/>
    <w:rsid w:val="002F6B88"/>
    <w:rsid w:val="002F7077"/>
    <w:rsid w:val="00300B2A"/>
    <w:rsid w:val="00307652"/>
    <w:rsid w:val="00312EEB"/>
    <w:rsid w:val="0032173C"/>
    <w:rsid w:val="00324CC3"/>
    <w:rsid w:val="003266F1"/>
    <w:rsid w:val="00330B9E"/>
    <w:rsid w:val="00332DE8"/>
    <w:rsid w:val="00342ACE"/>
    <w:rsid w:val="003431AE"/>
    <w:rsid w:val="00351432"/>
    <w:rsid w:val="00352899"/>
    <w:rsid w:val="00360CBB"/>
    <w:rsid w:val="00361452"/>
    <w:rsid w:val="0037194A"/>
    <w:rsid w:val="00396F5E"/>
    <w:rsid w:val="003A1BD9"/>
    <w:rsid w:val="003A2EE9"/>
    <w:rsid w:val="003A67C8"/>
    <w:rsid w:val="003B3CC1"/>
    <w:rsid w:val="003C3259"/>
    <w:rsid w:val="003C61A2"/>
    <w:rsid w:val="003D33FE"/>
    <w:rsid w:val="003D43B2"/>
    <w:rsid w:val="003E1625"/>
    <w:rsid w:val="003E286D"/>
    <w:rsid w:val="003E39C4"/>
    <w:rsid w:val="0040090B"/>
    <w:rsid w:val="00402AB7"/>
    <w:rsid w:val="00406C27"/>
    <w:rsid w:val="004108ED"/>
    <w:rsid w:val="004121E6"/>
    <w:rsid w:val="004220E9"/>
    <w:rsid w:val="00427513"/>
    <w:rsid w:val="0044262A"/>
    <w:rsid w:val="0045147B"/>
    <w:rsid w:val="004520DD"/>
    <w:rsid w:val="00455407"/>
    <w:rsid w:val="00462A92"/>
    <w:rsid w:val="00462D05"/>
    <w:rsid w:val="00474402"/>
    <w:rsid w:val="00475E0B"/>
    <w:rsid w:val="0047743B"/>
    <w:rsid w:val="00481876"/>
    <w:rsid w:val="00497230"/>
    <w:rsid w:val="0049785F"/>
    <w:rsid w:val="004A2F01"/>
    <w:rsid w:val="004A4984"/>
    <w:rsid w:val="004C0652"/>
    <w:rsid w:val="004D1222"/>
    <w:rsid w:val="004D5002"/>
    <w:rsid w:val="004D500A"/>
    <w:rsid w:val="004D7FF3"/>
    <w:rsid w:val="004E4FC2"/>
    <w:rsid w:val="004E5074"/>
    <w:rsid w:val="00502DD8"/>
    <w:rsid w:val="0050450F"/>
    <w:rsid w:val="00504E5A"/>
    <w:rsid w:val="00506CF2"/>
    <w:rsid w:val="005204EB"/>
    <w:rsid w:val="00527F1D"/>
    <w:rsid w:val="00534AC2"/>
    <w:rsid w:val="00537EDA"/>
    <w:rsid w:val="00540548"/>
    <w:rsid w:val="005425DF"/>
    <w:rsid w:val="00553C18"/>
    <w:rsid w:val="005574A8"/>
    <w:rsid w:val="00567893"/>
    <w:rsid w:val="005766F0"/>
    <w:rsid w:val="005907D8"/>
    <w:rsid w:val="00590F87"/>
    <w:rsid w:val="00593539"/>
    <w:rsid w:val="0059483C"/>
    <w:rsid w:val="005A0971"/>
    <w:rsid w:val="005A2320"/>
    <w:rsid w:val="005A2886"/>
    <w:rsid w:val="005A4ABD"/>
    <w:rsid w:val="005B6EA1"/>
    <w:rsid w:val="005B7EBD"/>
    <w:rsid w:val="005C0DDC"/>
    <w:rsid w:val="005C2A73"/>
    <w:rsid w:val="005C479A"/>
    <w:rsid w:val="005C576D"/>
    <w:rsid w:val="005D229C"/>
    <w:rsid w:val="005D6AF6"/>
    <w:rsid w:val="005E6BD9"/>
    <w:rsid w:val="00604E51"/>
    <w:rsid w:val="00606AB5"/>
    <w:rsid w:val="00606DD1"/>
    <w:rsid w:val="00624252"/>
    <w:rsid w:val="006271C9"/>
    <w:rsid w:val="006279F9"/>
    <w:rsid w:val="0063007C"/>
    <w:rsid w:val="0063313C"/>
    <w:rsid w:val="006348DA"/>
    <w:rsid w:val="00634937"/>
    <w:rsid w:val="00635B41"/>
    <w:rsid w:val="0064120B"/>
    <w:rsid w:val="0064557E"/>
    <w:rsid w:val="00655415"/>
    <w:rsid w:val="006557F0"/>
    <w:rsid w:val="00655815"/>
    <w:rsid w:val="00657EF8"/>
    <w:rsid w:val="00665426"/>
    <w:rsid w:val="006679EA"/>
    <w:rsid w:val="00671219"/>
    <w:rsid w:val="00682C8A"/>
    <w:rsid w:val="00685F3D"/>
    <w:rsid w:val="00696162"/>
    <w:rsid w:val="006A1F9D"/>
    <w:rsid w:val="006C1620"/>
    <w:rsid w:val="006C4598"/>
    <w:rsid w:val="006C65D8"/>
    <w:rsid w:val="006C769B"/>
    <w:rsid w:val="006D1CD0"/>
    <w:rsid w:val="006D28C1"/>
    <w:rsid w:val="006E1EFE"/>
    <w:rsid w:val="006E5A30"/>
    <w:rsid w:val="006F1B05"/>
    <w:rsid w:val="006F5851"/>
    <w:rsid w:val="006F5FD4"/>
    <w:rsid w:val="006F733E"/>
    <w:rsid w:val="00704043"/>
    <w:rsid w:val="0070458C"/>
    <w:rsid w:val="0070640D"/>
    <w:rsid w:val="00714B2D"/>
    <w:rsid w:val="00714F51"/>
    <w:rsid w:val="00721184"/>
    <w:rsid w:val="00726B1A"/>
    <w:rsid w:val="00727E1C"/>
    <w:rsid w:val="00727FD1"/>
    <w:rsid w:val="007305B9"/>
    <w:rsid w:val="007326DD"/>
    <w:rsid w:val="007362B2"/>
    <w:rsid w:val="00736811"/>
    <w:rsid w:val="00747E4E"/>
    <w:rsid w:val="007504E0"/>
    <w:rsid w:val="00756AFB"/>
    <w:rsid w:val="00756D29"/>
    <w:rsid w:val="00757E63"/>
    <w:rsid w:val="00764CB8"/>
    <w:rsid w:val="00774385"/>
    <w:rsid w:val="007747F7"/>
    <w:rsid w:val="00786CA0"/>
    <w:rsid w:val="00787E72"/>
    <w:rsid w:val="00794BF8"/>
    <w:rsid w:val="007A6E63"/>
    <w:rsid w:val="007C4203"/>
    <w:rsid w:val="007C59BB"/>
    <w:rsid w:val="007D1D5C"/>
    <w:rsid w:val="007D51CB"/>
    <w:rsid w:val="007F4FF3"/>
    <w:rsid w:val="007F5450"/>
    <w:rsid w:val="007F617B"/>
    <w:rsid w:val="007F6EAC"/>
    <w:rsid w:val="00802154"/>
    <w:rsid w:val="00802737"/>
    <w:rsid w:val="00804B85"/>
    <w:rsid w:val="00806428"/>
    <w:rsid w:val="00816A9B"/>
    <w:rsid w:val="00816C93"/>
    <w:rsid w:val="0082362A"/>
    <w:rsid w:val="008266E0"/>
    <w:rsid w:val="008365DF"/>
    <w:rsid w:val="00836F59"/>
    <w:rsid w:val="008419F1"/>
    <w:rsid w:val="008421BC"/>
    <w:rsid w:val="0084461B"/>
    <w:rsid w:val="0085085F"/>
    <w:rsid w:val="00855C1A"/>
    <w:rsid w:val="0086066B"/>
    <w:rsid w:val="008711BA"/>
    <w:rsid w:val="00874E3E"/>
    <w:rsid w:val="00875259"/>
    <w:rsid w:val="00881B95"/>
    <w:rsid w:val="0088521F"/>
    <w:rsid w:val="0088782D"/>
    <w:rsid w:val="00891A2E"/>
    <w:rsid w:val="00891D92"/>
    <w:rsid w:val="008975C9"/>
    <w:rsid w:val="00897D55"/>
    <w:rsid w:val="008A1C36"/>
    <w:rsid w:val="008A71CF"/>
    <w:rsid w:val="008C076D"/>
    <w:rsid w:val="008C2EEA"/>
    <w:rsid w:val="008C6D26"/>
    <w:rsid w:val="008C7548"/>
    <w:rsid w:val="008D66EE"/>
    <w:rsid w:val="008E14ED"/>
    <w:rsid w:val="008F27D3"/>
    <w:rsid w:val="008F47B8"/>
    <w:rsid w:val="008F7769"/>
    <w:rsid w:val="009006AC"/>
    <w:rsid w:val="00910626"/>
    <w:rsid w:val="00910C4F"/>
    <w:rsid w:val="009130BA"/>
    <w:rsid w:val="009156BA"/>
    <w:rsid w:val="0091605C"/>
    <w:rsid w:val="00916E78"/>
    <w:rsid w:val="00917350"/>
    <w:rsid w:val="00921131"/>
    <w:rsid w:val="00921BC7"/>
    <w:rsid w:val="00931D85"/>
    <w:rsid w:val="009330E9"/>
    <w:rsid w:val="00934A05"/>
    <w:rsid w:val="009451D9"/>
    <w:rsid w:val="00955A14"/>
    <w:rsid w:val="00964518"/>
    <w:rsid w:val="00967623"/>
    <w:rsid w:val="00972C12"/>
    <w:rsid w:val="00975CFC"/>
    <w:rsid w:val="00985B84"/>
    <w:rsid w:val="00994CB6"/>
    <w:rsid w:val="00996998"/>
    <w:rsid w:val="00997D81"/>
    <w:rsid w:val="009A3116"/>
    <w:rsid w:val="009A4E58"/>
    <w:rsid w:val="009A4E92"/>
    <w:rsid w:val="009C56FB"/>
    <w:rsid w:val="009E105A"/>
    <w:rsid w:val="009E2027"/>
    <w:rsid w:val="009E23D1"/>
    <w:rsid w:val="009F71F6"/>
    <w:rsid w:val="00A076F3"/>
    <w:rsid w:val="00A079E5"/>
    <w:rsid w:val="00A07D1C"/>
    <w:rsid w:val="00A133E6"/>
    <w:rsid w:val="00A13A52"/>
    <w:rsid w:val="00A16177"/>
    <w:rsid w:val="00A16D0E"/>
    <w:rsid w:val="00A20554"/>
    <w:rsid w:val="00A3040A"/>
    <w:rsid w:val="00A317E3"/>
    <w:rsid w:val="00A3354B"/>
    <w:rsid w:val="00A34DAC"/>
    <w:rsid w:val="00A34E63"/>
    <w:rsid w:val="00A36222"/>
    <w:rsid w:val="00A37114"/>
    <w:rsid w:val="00A41BBC"/>
    <w:rsid w:val="00A42D81"/>
    <w:rsid w:val="00A45F95"/>
    <w:rsid w:val="00A549A5"/>
    <w:rsid w:val="00A60922"/>
    <w:rsid w:val="00A648B7"/>
    <w:rsid w:val="00A655EB"/>
    <w:rsid w:val="00A655F7"/>
    <w:rsid w:val="00A66712"/>
    <w:rsid w:val="00A66CB8"/>
    <w:rsid w:val="00A7177A"/>
    <w:rsid w:val="00A71B91"/>
    <w:rsid w:val="00A71D70"/>
    <w:rsid w:val="00A72812"/>
    <w:rsid w:val="00A814B0"/>
    <w:rsid w:val="00A828B2"/>
    <w:rsid w:val="00A9366C"/>
    <w:rsid w:val="00AA543C"/>
    <w:rsid w:val="00AA550D"/>
    <w:rsid w:val="00AB5D20"/>
    <w:rsid w:val="00AB6756"/>
    <w:rsid w:val="00AC6120"/>
    <w:rsid w:val="00AC7341"/>
    <w:rsid w:val="00AD71FB"/>
    <w:rsid w:val="00AF2FF3"/>
    <w:rsid w:val="00B0417D"/>
    <w:rsid w:val="00B12771"/>
    <w:rsid w:val="00B14646"/>
    <w:rsid w:val="00B22507"/>
    <w:rsid w:val="00B244FA"/>
    <w:rsid w:val="00B24FF4"/>
    <w:rsid w:val="00B25545"/>
    <w:rsid w:val="00B262E3"/>
    <w:rsid w:val="00B26BC4"/>
    <w:rsid w:val="00B335B4"/>
    <w:rsid w:val="00B34812"/>
    <w:rsid w:val="00B37170"/>
    <w:rsid w:val="00B40D25"/>
    <w:rsid w:val="00B43FD2"/>
    <w:rsid w:val="00B507D4"/>
    <w:rsid w:val="00B51880"/>
    <w:rsid w:val="00B51ECB"/>
    <w:rsid w:val="00B545CB"/>
    <w:rsid w:val="00B56781"/>
    <w:rsid w:val="00B62660"/>
    <w:rsid w:val="00B67717"/>
    <w:rsid w:val="00B72171"/>
    <w:rsid w:val="00B7383A"/>
    <w:rsid w:val="00B7493D"/>
    <w:rsid w:val="00B75C73"/>
    <w:rsid w:val="00B76AC4"/>
    <w:rsid w:val="00B8580F"/>
    <w:rsid w:val="00B903C5"/>
    <w:rsid w:val="00B90C08"/>
    <w:rsid w:val="00B92193"/>
    <w:rsid w:val="00B93D48"/>
    <w:rsid w:val="00B946FB"/>
    <w:rsid w:val="00B974E0"/>
    <w:rsid w:val="00BA70B0"/>
    <w:rsid w:val="00BB32ED"/>
    <w:rsid w:val="00BB5960"/>
    <w:rsid w:val="00BB6416"/>
    <w:rsid w:val="00BC1C4E"/>
    <w:rsid w:val="00BC1D13"/>
    <w:rsid w:val="00BC2F77"/>
    <w:rsid w:val="00BC46C6"/>
    <w:rsid w:val="00BC6A9F"/>
    <w:rsid w:val="00BC7275"/>
    <w:rsid w:val="00BD0EEF"/>
    <w:rsid w:val="00BD419F"/>
    <w:rsid w:val="00BE03EC"/>
    <w:rsid w:val="00BE3DDF"/>
    <w:rsid w:val="00BF0A1A"/>
    <w:rsid w:val="00BF1A09"/>
    <w:rsid w:val="00BF1B89"/>
    <w:rsid w:val="00BF4D94"/>
    <w:rsid w:val="00BF51D6"/>
    <w:rsid w:val="00BF5B8D"/>
    <w:rsid w:val="00BF759B"/>
    <w:rsid w:val="00C058DB"/>
    <w:rsid w:val="00C0740D"/>
    <w:rsid w:val="00C10E31"/>
    <w:rsid w:val="00C11F1B"/>
    <w:rsid w:val="00C16FAD"/>
    <w:rsid w:val="00C22C07"/>
    <w:rsid w:val="00C277A5"/>
    <w:rsid w:val="00C34D90"/>
    <w:rsid w:val="00C404FF"/>
    <w:rsid w:val="00C419E2"/>
    <w:rsid w:val="00C47693"/>
    <w:rsid w:val="00C50355"/>
    <w:rsid w:val="00C5584B"/>
    <w:rsid w:val="00C57C78"/>
    <w:rsid w:val="00C63664"/>
    <w:rsid w:val="00C66E9A"/>
    <w:rsid w:val="00CB2934"/>
    <w:rsid w:val="00CB7890"/>
    <w:rsid w:val="00CC5C64"/>
    <w:rsid w:val="00CF14B4"/>
    <w:rsid w:val="00CF40BB"/>
    <w:rsid w:val="00D00C70"/>
    <w:rsid w:val="00D029A3"/>
    <w:rsid w:val="00D030DE"/>
    <w:rsid w:val="00D04A0B"/>
    <w:rsid w:val="00D10FBC"/>
    <w:rsid w:val="00D12DBD"/>
    <w:rsid w:val="00D2529D"/>
    <w:rsid w:val="00D276B1"/>
    <w:rsid w:val="00D42C48"/>
    <w:rsid w:val="00D43D09"/>
    <w:rsid w:val="00D506DF"/>
    <w:rsid w:val="00D53F33"/>
    <w:rsid w:val="00D54497"/>
    <w:rsid w:val="00D55271"/>
    <w:rsid w:val="00D573C5"/>
    <w:rsid w:val="00D57C95"/>
    <w:rsid w:val="00D65EDA"/>
    <w:rsid w:val="00D7512B"/>
    <w:rsid w:val="00D75D23"/>
    <w:rsid w:val="00D76E1E"/>
    <w:rsid w:val="00D777D2"/>
    <w:rsid w:val="00D77B33"/>
    <w:rsid w:val="00D81696"/>
    <w:rsid w:val="00D84604"/>
    <w:rsid w:val="00D86806"/>
    <w:rsid w:val="00D86AB2"/>
    <w:rsid w:val="00D909E1"/>
    <w:rsid w:val="00D95198"/>
    <w:rsid w:val="00D95E00"/>
    <w:rsid w:val="00D96170"/>
    <w:rsid w:val="00D977B2"/>
    <w:rsid w:val="00DA4CBB"/>
    <w:rsid w:val="00DC098A"/>
    <w:rsid w:val="00DC1F48"/>
    <w:rsid w:val="00DC3D46"/>
    <w:rsid w:val="00DC4C57"/>
    <w:rsid w:val="00DD2898"/>
    <w:rsid w:val="00DE1C1F"/>
    <w:rsid w:val="00DE1E17"/>
    <w:rsid w:val="00DE2A7F"/>
    <w:rsid w:val="00DE4DB4"/>
    <w:rsid w:val="00DF283D"/>
    <w:rsid w:val="00E13ED3"/>
    <w:rsid w:val="00E218E7"/>
    <w:rsid w:val="00E248F9"/>
    <w:rsid w:val="00E2761A"/>
    <w:rsid w:val="00E331D8"/>
    <w:rsid w:val="00E357BE"/>
    <w:rsid w:val="00E36313"/>
    <w:rsid w:val="00E36699"/>
    <w:rsid w:val="00E36D1D"/>
    <w:rsid w:val="00E46F58"/>
    <w:rsid w:val="00E5172E"/>
    <w:rsid w:val="00E51ADF"/>
    <w:rsid w:val="00E538D2"/>
    <w:rsid w:val="00E53AEE"/>
    <w:rsid w:val="00E5420A"/>
    <w:rsid w:val="00E5584A"/>
    <w:rsid w:val="00E57C29"/>
    <w:rsid w:val="00E62041"/>
    <w:rsid w:val="00E707D8"/>
    <w:rsid w:val="00E72147"/>
    <w:rsid w:val="00E72668"/>
    <w:rsid w:val="00E7269E"/>
    <w:rsid w:val="00E72E57"/>
    <w:rsid w:val="00E757CB"/>
    <w:rsid w:val="00E7653C"/>
    <w:rsid w:val="00E77640"/>
    <w:rsid w:val="00E825AA"/>
    <w:rsid w:val="00E876A9"/>
    <w:rsid w:val="00EA45E0"/>
    <w:rsid w:val="00EA6569"/>
    <w:rsid w:val="00EB5C62"/>
    <w:rsid w:val="00EB73B6"/>
    <w:rsid w:val="00EC073F"/>
    <w:rsid w:val="00EC3C63"/>
    <w:rsid w:val="00EC4D2D"/>
    <w:rsid w:val="00EC6945"/>
    <w:rsid w:val="00EC6A2C"/>
    <w:rsid w:val="00EC779C"/>
    <w:rsid w:val="00ED0F8D"/>
    <w:rsid w:val="00EE5343"/>
    <w:rsid w:val="00EF0A2F"/>
    <w:rsid w:val="00EF5127"/>
    <w:rsid w:val="00EF67F8"/>
    <w:rsid w:val="00F027B2"/>
    <w:rsid w:val="00F16D77"/>
    <w:rsid w:val="00F21B8B"/>
    <w:rsid w:val="00F22669"/>
    <w:rsid w:val="00F24B67"/>
    <w:rsid w:val="00F266BD"/>
    <w:rsid w:val="00F26C5A"/>
    <w:rsid w:val="00F32601"/>
    <w:rsid w:val="00F3276E"/>
    <w:rsid w:val="00F32A05"/>
    <w:rsid w:val="00F3375E"/>
    <w:rsid w:val="00F366CE"/>
    <w:rsid w:val="00F37020"/>
    <w:rsid w:val="00F43638"/>
    <w:rsid w:val="00F46D53"/>
    <w:rsid w:val="00F50CFA"/>
    <w:rsid w:val="00F5342E"/>
    <w:rsid w:val="00F57056"/>
    <w:rsid w:val="00F63881"/>
    <w:rsid w:val="00F761F3"/>
    <w:rsid w:val="00F83D1B"/>
    <w:rsid w:val="00F84146"/>
    <w:rsid w:val="00F84CE0"/>
    <w:rsid w:val="00FA0CE6"/>
    <w:rsid w:val="00FA7240"/>
    <w:rsid w:val="00FB1974"/>
    <w:rsid w:val="00FB520B"/>
    <w:rsid w:val="00FB5875"/>
    <w:rsid w:val="00FC25D6"/>
    <w:rsid w:val="00FC67A5"/>
    <w:rsid w:val="00FD4EC4"/>
    <w:rsid w:val="00FE310B"/>
    <w:rsid w:val="00FE67FB"/>
    <w:rsid w:val="00FF08D4"/>
    <w:rsid w:val="00FF4C7C"/>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D"/>
  </w:style>
  <w:style w:type="paragraph" w:styleId="Heading1">
    <w:name w:val="heading 1"/>
    <w:basedOn w:val="Normal"/>
    <w:link w:val="Heading1Char"/>
    <w:uiPriority w:val="99"/>
    <w:qFormat/>
    <w:rsid w:val="00D030DE"/>
    <w:pPr>
      <w:keepNext/>
      <w:spacing w:after="180" w:line="240" w:lineRule="auto"/>
      <w:ind w:left="2160" w:hanging="2160"/>
      <w:outlineLvl w:val="0"/>
    </w:pPr>
    <w:rPr>
      <w:rFonts w:ascii="Book Antiqua" w:eastAsia="Times New Roman" w:hAnsi="Book Antiqua" w:cs="Times New Roman"/>
      <w:b/>
      <w:bCs/>
      <w:color w:val="5F497A"/>
      <w:kern w:val="36"/>
      <w:sz w:val="40"/>
      <w:szCs w:val="48"/>
    </w:rPr>
  </w:style>
  <w:style w:type="paragraph" w:styleId="Heading2">
    <w:name w:val="heading 2"/>
    <w:basedOn w:val="Normal"/>
    <w:next w:val="Normal"/>
    <w:link w:val="Heading2Char"/>
    <w:uiPriority w:val="99"/>
    <w:unhideWhenUsed/>
    <w:qFormat/>
    <w:rsid w:val="00D030DE"/>
    <w:pPr>
      <w:keepNext/>
      <w:spacing w:before="360" w:after="120" w:line="240" w:lineRule="auto"/>
      <w:ind w:left="720" w:hanging="720"/>
      <w:outlineLvl w:val="1"/>
    </w:pPr>
    <w:rPr>
      <w:rFonts w:asciiTheme="majorHAnsi" w:eastAsiaTheme="majorEastAsia" w:hAnsiTheme="majorHAnsi" w:cstheme="majorBidi"/>
      <w:b/>
      <w:bCs/>
      <w:color w:val="5F497A"/>
      <w:sz w:val="32"/>
      <w:szCs w:val="26"/>
    </w:rPr>
  </w:style>
  <w:style w:type="paragraph" w:styleId="Heading3">
    <w:name w:val="heading 3"/>
    <w:basedOn w:val="Normal"/>
    <w:next w:val="Normal"/>
    <w:link w:val="Heading3Char"/>
    <w:uiPriority w:val="99"/>
    <w:unhideWhenUsed/>
    <w:qFormat/>
    <w:rsid w:val="00D030DE"/>
    <w:pPr>
      <w:keepNext/>
      <w:keepLines/>
      <w:spacing w:before="240" w:after="120" w:line="240" w:lineRule="auto"/>
      <w:outlineLvl w:val="2"/>
    </w:pPr>
    <w:rPr>
      <w:rFonts w:ascii="Book Antiqua" w:eastAsiaTheme="majorEastAsia" w:hAnsi="Book Antiqua" w:cstheme="majorBidi"/>
      <w:b/>
      <w:bCs/>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D3"/>
    <w:rPr>
      <w:sz w:val="20"/>
      <w:szCs w:val="20"/>
    </w:rPr>
  </w:style>
  <w:style w:type="character" w:styleId="FootnoteReference">
    <w:name w:val="footnote reference"/>
    <w:basedOn w:val="DefaultParagraphFont"/>
    <w:uiPriority w:val="99"/>
    <w:semiHidden/>
    <w:rsid w:val="001F2ED3"/>
    <w:rPr>
      <w:vertAlign w:val="superscript"/>
    </w:rPr>
  </w:style>
  <w:style w:type="paragraph" w:styleId="BalloonText">
    <w:name w:val="Balloon Text"/>
    <w:basedOn w:val="Normal"/>
    <w:link w:val="BalloonTextChar"/>
    <w:uiPriority w:val="99"/>
    <w:semiHidden/>
    <w:unhideWhenUsed/>
    <w:rsid w:val="00F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3"/>
    <w:rPr>
      <w:rFonts w:ascii="Tahoma" w:hAnsi="Tahoma" w:cs="Tahoma"/>
      <w:sz w:val="16"/>
      <w:szCs w:val="16"/>
    </w:rPr>
  </w:style>
  <w:style w:type="character" w:styleId="Hyperlink">
    <w:name w:val="Hyperlink"/>
    <w:basedOn w:val="DefaultParagraphFont"/>
    <w:uiPriority w:val="99"/>
    <w:unhideWhenUsed/>
    <w:rsid w:val="00BA70B0"/>
    <w:rPr>
      <w:color w:val="0000FF" w:themeColor="hyperlink"/>
      <w:u w:val="single"/>
    </w:rPr>
  </w:style>
  <w:style w:type="character" w:styleId="CommentReference">
    <w:name w:val="annotation reference"/>
    <w:basedOn w:val="DefaultParagraphFont"/>
    <w:uiPriority w:val="99"/>
    <w:semiHidden/>
    <w:unhideWhenUsed/>
    <w:rsid w:val="00DE2A7F"/>
    <w:rPr>
      <w:sz w:val="16"/>
      <w:szCs w:val="16"/>
    </w:rPr>
  </w:style>
  <w:style w:type="paragraph" w:styleId="CommentText">
    <w:name w:val="annotation text"/>
    <w:basedOn w:val="Normal"/>
    <w:link w:val="CommentTextChar"/>
    <w:uiPriority w:val="99"/>
    <w:semiHidden/>
    <w:unhideWhenUsed/>
    <w:rsid w:val="00DE2A7F"/>
    <w:pPr>
      <w:spacing w:line="240" w:lineRule="auto"/>
    </w:pPr>
    <w:rPr>
      <w:sz w:val="20"/>
      <w:szCs w:val="20"/>
    </w:rPr>
  </w:style>
  <w:style w:type="character" w:customStyle="1" w:styleId="CommentTextChar">
    <w:name w:val="Comment Text Char"/>
    <w:basedOn w:val="DefaultParagraphFont"/>
    <w:link w:val="CommentText"/>
    <w:uiPriority w:val="99"/>
    <w:semiHidden/>
    <w:rsid w:val="00DE2A7F"/>
    <w:rPr>
      <w:sz w:val="20"/>
      <w:szCs w:val="20"/>
    </w:rPr>
  </w:style>
  <w:style w:type="paragraph" w:styleId="CommentSubject">
    <w:name w:val="annotation subject"/>
    <w:basedOn w:val="CommentText"/>
    <w:next w:val="CommentText"/>
    <w:link w:val="CommentSubjectChar"/>
    <w:uiPriority w:val="99"/>
    <w:semiHidden/>
    <w:unhideWhenUsed/>
    <w:rsid w:val="00DE2A7F"/>
    <w:rPr>
      <w:b/>
      <w:bCs/>
    </w:rPr>
  </w:style>
  <w:style w:type="character" w:customStyle="1" w:styleId="CommentSubjectChar">
    <w:name w:val="Comment Subject Char"/>
    <w:basedOn w:val="CommentTextChar"/>
    <w:link w:val="CommentSubject"/>
    <w:uiPriority w:val="99"/>
    <w:semiHidden/>
    <w:rsid w:val="00DE2A7F"/>
    <w:rPr>
      <w:b/>
      <w:bCs/>
      <w:sz w:val="20"/>
      <w:szCs w:val="20"/>
    </w:rPr>
  </w:style>
  <w:style w:type="paragraph" w:styleId="ListParagraph">
    <w:name w:val="List Paragraph"/>
    <w:basedOn w:val="Normal"/>
    <w:uiPriority w:val="34"/>
    <w:qFormat/>
    <w:rsid w:val="00DC4C57"/>
    <w:pPr>
      <w:ind w:left="720"/>
      <w:contextualSpacing/>
    </w:pPr>
  </w:style>
  <w:style w:type="paragraph" w:styleId="NormalWeb">
    <w:name w:val="Normal (Web)"/>
    <w:basedOn w:val="Normal"/>
    <w:uiPriority w:val="99"/>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FB1974"/>
  </w:style>
  <w:style w:type="paragraph" w:styleId="Revision">
    <w:name w:val="Revision"/>
    <w:hidden/>
    <w:uiPriority w:val="99"/>
    <w:semiHidden/>
    <w:rsid w:val="003E286D"/>
    <w:pPr>
      <w:spacing w:after="0" w:line="240" w:lineRule="auto"/>
    </w:pPr>
  </w:style>
  <w:style w:type="paragraph" w:styleId="Header">
    <w:name w:val="header"/>
    <w:basedOn w:val="Normal"/>
    <w:link w:val="HeaderChar"/>
    <w:uiPriority w:val="99"/>
    <w:unhideWhenUsed/>
    <w:rsid w:val="001F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10"/>
  </w:style>
  <w:style w:type="paragraph" w:styleId="Footer">
    <w:name w:val="footer"/>
    <w:basedOn w:val="Normal"/>
    <w:link w:val="FooterChar"/>
    <w:uiPriority w:val="99"/>
    <w:unhideWhenUsed/>
    <w:rsid w:val="001F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10"/>
  </w:style>
  <w:style w:type="character" w:styleId="FollowedHyperlink">
    <w:name w:val="FollowedHyperlink"/>
    <w:basedOn w:val="DefaultParagraphFont"/>
    <w:uiPriority w:val="99"/>
    <w:semiHidden/>
    <w:unhideWhenUsed/>
    <w:rsid w:val="00BC2F77"/>
    <w:rPr>
      <w:color w:val="800080" w:themeColor="followedHyperlink"/>
      <w:u w:val="single"/>
    </w:rPr>
  </w:style>
  <w:style w:type="character" w:customStyle="1" w:styleId="Heading1Char">
    <w:name w:val="Heading 1 Char"/>
    <w:basedOn w:val="DefaultParagraphFont"/>
    <w:link w:val="Heading1"/>
    <w:uiPriority w:val="99"/>
    <w:rsid w:val="00D030DE"/>
    <w:rPr>
      <w:rFonts w:ascii="Book Antiqua" w:eastAsia="Times New Roman" w:hAnsi="Book Antiqua" w:cs="Times New Roman"/>
      <w:b/>
      <w:bCs/>
      <w:color w:val="5F497A"/>
      <w:kern w:val="36"/>
      <w:sz w:val="40"/>
      <w:szCs w:val="48"/>
    </w:rPr>
  </w:style>
  <w:style w:type="paragraph" w:styleId="EndnoteText">
    <w:name w:val="endnote text"/>
    <w:basedOn w:val="Normal"/>
    <w:link w:val="EndnoteTextChar"/>
    <w:uiPriority w:val="99"/>
    <w:semiHidden/>
    <w:unhideWhenUsed/>
    <w:rsid w:val="00BD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19F"/>
    <w:rPr>
      <w:sz w:val="20"/>
      <w:szCs w:val="20"/>
    </w:rPr>
  </w:style>
  <w:style w:type="character" w:styleId="EndnoteReference">
    <w:name w:val="endnote reference"/>
    <w:basedOn w:val="DefaultParagraphFont"/>
    <w:uiPriority w:val="99"/>
    <w:semiHidden/>
    <w:unhideWhenUsed/>
    <w:rsid w:val="00BD419F"/>
    <w:rPr>
      <w:vertAlign w:val="superscript"/>
    </w:rPr>
  </w:style>
  <w:style w:type="paragraph" w:customStyle="1" w:styleId="Default">
    <w:name w:val="Default"/>
    <w:rsid w:val="00F32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D030DE"/>
    <w:rPr>
      <w:rFonts w:asciiTheme="majorHAnsi" w:eastAsiaTheme="majorEastAsia" w:hAnsiTheme="majorHAnsi" w:cstheme="majorBidi"/>
      <w:b/>
      <w:bCs/>
      <w:color w:val="5F497A"/>
      <w:sz w:val="32"/>
      <w:szCs w:val="26"/>
    </w:rPr>
  </w:style>
  <w:style w:type="character" w:customStyle="1" w:styleId="Heading3Char">
    <w:name w:val="Heading 3 Char"/>
    <w:basedOn w:val="DefaultParagraphFont"/>
    <w:link w:val="Heading3"/>
    <w:uiPriority w:val="99"/>
    <w:rsid w:val="00D030DE"/>
    <w:rPr>
      <w:rFonts w:ascii="Book Antiqua" w:eastAsiaTheme="majorEastAsia" w:hAnsi="Book Antiqua" w:cstheme="majorBidi"/>
      <w:b/>
      <w:bCs/>
      <w:color w:val="5F497A"/>
      <w:sz w:val="28"/>
    </w:rPr>
  </w:style>
  <w:style w:type="paragraph" w:customStyle="1" w:styleId="Bullet1">
    <w:name w:val="Bullet 1"/>
    <w:basedOn w:val="Normal"/>
    <w:qFormat/>
    <w:rsid w:val="008419F1"/>
    <w:pPr>
      <w:keepNext/>
      <w:keepLines/>
      <w:numPr>
        <w:numId w:val="1"/>
      </w:numPr>
      <w:spacing w:after="60" w:line="240" w:lineRule="auto"/>
    </w:pPr>
    <w:rPr>
      <w:rFonts w:ascii="Book Antiqua" w:eastAsia="MS ??" w:hAnsi="Book Antiqua" w:cs="Calibri"/>
      <w:spacing w:val="-2"/>
    </w:rPr>
  </w:style>
  <w:style w:type="table" w:customStyle="1" w:styleId="LightShading-Accent51">
    <w:name w:val="Light Shading - Accent 51"/>
    <w:basedOn w:val="TableNormal"/>
    <w:next w:val="LightShading-Accent5"/>
    <w:uiPriority w:val="60"/>
    <w:rsid w:val="008419F1"/>
    <w:pPr>
      <w:spacing w:after="0" w:line="240" w:lineRule="auto"/>
    </w:pPr>
    <w:rPr>
      <w:rFonts w:eastAsia="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justify">
    <w:name w:val="justify"/>
    <w:basedOn w:val="DefaultParagraphFont"/>
    <w:rsid w:val="008419F1"/>
  </w:style>
  <w:style w:type="table" w:styleId="LightShading-Accent5">
    <w:name w:val="Light Shading Accent 5"/>
    <w:basedOn w:val="TableNormal"/>
    <w:uiPriority w:val="60"/>
    <w:rsid w:val="008419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1">
    <w:name w:val="No List1"/>
    <w:next w:val="NoList"/>
    <w:uiPriority w:val="99"/>
    <w:semiHidden/>
    <w:unhideWhenUsed/>
    <w:rsid w:val="00E248F9"/>
  </w:style>
  <w:style w:type="character" w:styleId="Strong">
    <w:name w:val="Strong"/>
    <w:basedOn w:val="DefaultParagraphFont"/>
    <w:uiPriority w:val="22"/>
    <w:rsid w:val="00E248F9"/>
    <w:rPr>
      <w:b/>
    </w:rPr>
  </w:style>
  <w:style w:type="table" w:customStyle="1" w:styleId="LightShading-Accent11">
    <w:name w:val="Light Shading - Accent 11"/>
    <w:basedOn w:val="TableNormal"/>
    <w:next w:val="LightShading-Accent1"/>
    <w:uiPriority w:val="60"/>
    <w:rsid w:val="00E248F9"/>
    <w:pPr>
      <w:spacing w:after="0" w:line="240" w:lineRule="auto"/>
    </w:pPr>
    <w:rPr>
      <w:rFonts w:eastAsia="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E248F9"/>
    <w:rPr>
      <w:i/>
      <w:iCs/>
    </w:rPr>
  </w:style>
  <w:style w:type="table" w:styleId="TableGrid">
    <w:name w:val="Table Grid"/>
    <w:basedOn w:val="TableNormal"/>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48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8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030DE"/>
    <w:pPr>
      <w:keepNext/>
      <w:spacing w:before="60" w:after="60" w:line="300" w:lineRule="exact"/>
      <w:jc w:val="center"/>
    </w:pPr>
    <w:rPr>
      <w:rFonts w:ascii="Book Antiqua" w:eastAsia="Cambria" w:hAnsi="Book Antiqua" w:cs="Times New Roman"/>
      <w:b/>
      <w:smallCaps/>
      <w:color w:val="FFFFFF" w:themeColor="background1"/>
      <w:sz w:val="20"/>
    </w:rPr>
  </w:style>
  <w:style w:type="paragraph" w:customStyle="1" w:styleId="TableText">
    <w:name w:val="Table Text"/>
    <w:basedOn w:val="Normal"/>
    <w:qFormat/>
    <w:rsid w:val="00E248F9"/>
    <w:pPr>
      <w:spacing w:before="60" w:after="60" w:line="260" w:lineRule="exact"/>
    </w:pPr>
    <w:rPr>
      <w:rFonts w:ascii="Calibri" w:eastAsia="MS ??" w:hAnsi="Calibri" w:cs="Calibri"/>
      <w:spacing w:val="-2"/>
      <w:sz w:val="24"/>
    </w:rPr>
  </w:style>
  <w:style w:type="paragraph" w:customStyle="1" w:styleId="ReportTitle">
    <w:name w:val="Report Title"/>
    <w:basedOn w:val="Normal"/>
    <w:qFormat/>
    <w:rsid w:val="00E248F9"/>
    <w:pPr>
      <w:spacing w:after="240" w:line="240" w:lineRule="auto"/>
    </w:pPr>
    <w:rPr>
      <w:rFonts w:ascii="Book Antiqua" w:eastAsia="MS ??" w:hAnsi="Book Antiqua" w:cs="Calibri"/>
      <w:b/>
      <w:smallCaps/>
      <w:color w:val="31849B"/>
      <w:spacing w:val="-2"/>
      <w:sz w:val="64"/>
      <w:szCs w:val="64"/>
    </w:rPr>
  </w:style>
  <w:style w:type="paragraph" w:customStyle="1" w:styleId="ChapterTitle">
    <w:name w:val="Chapter Title"/>
    <w:basedOn w:val="Normal"/>
    <w:qFormat/>
    <w:rsid w:val="00E248F9"/>
    <w:pPr>
      <w:spacing w:after="120" w:line="240" w:lineRule="auto"/>
    </w:pPr>
    <w:rPr>
      <w:rFonts w:ascii="Book Antiqua" w:eastAsia="MS ??" w:hAnsi="Book Antiqua" w:cs="Calibri"/>
      <w:b/>
      <w:smallCaps/>
      <w:color w:val="5F497A"/>
      <w:spacing w:val="-2"/>
      <w:sz w:val="56"/>
      <w:szCs w:val="56"/>
    </w:rPr>
  </w:style>
  <w:style w:type="table" w:customStyle="1" w:styleId="MediumShading2-Accent41">
    <w:name w:val="Medium Shading 2 - Accent 41"/>
    <w:basedOn w:val="TableNormal"/>
    <w:next w:val="MediumShading2-Accent4"/>
    <w:uiPriority w:val="64"/>
    <w:rsid w:val="00E248F9"/>
    <w:pPr>
      <w:spacing w:after="0" w:line="240" w:lineRule="auto"/>
    </w:pPr>
    <w:rPr>
      <w:rFonts w:eastAsia="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248F9"/>
  </w:style>
  <w:style w:type="paragraph" w:customStyle="1" w:styleId="bulletindent11">
    <w:name w:val="bulletindent11"/>
    <w:basedOn w:val="Normal"/>
    <w:rsid w:val="00E248F9"/>
    <w:pPr>
      <w:spacing w:before="18" w:after="18" w:line="336" w:lineRule="auto"/>
      <w:ind w:left="295"/>
    </w:pPr>
    <w:rPr>
      <w:rFonts w:ascii="Times New Roman" w:eastAsia="Times New Roman" w:hAnsi="Times New Roman" w:cs="Times New Roman"/>
      <w:sz w:val="24"/>
      <w:szCs w:val="24"/>
    </w:rPr>
  </w:style>
  <w:style w:type="paragraph" w:customStyle="1" w:styleId="headinganchor1">
    <w:name w:val="headinganchor1"/>
    <w:basedOn w:val="Normal"/>
    <w:rsid w:val="00E248F9"/>
    <w:pPr>
      <w:spacing w:after="92" w:line="336" w:lineRule="auto"/>
    </w:pPr>
    <w:rPr>
      <w:rFonts w:ascii="Times New Roman" w:eastAsia="Times New Roman" w:hAnsi="Times New Roman" w:cs="Times New Roman"/>
      <w:sz w:val="24"/>
      <w:szCs w:val="24"/>
    </w:rPr>
  </w:style>
  <w:style w:type="character" w:customStyle="1" w:styleId="h14">
    <w:name w:val="h14"/>
    <w:basedOn w:val="DefaultParagraphFont"/>
    <w:rsid w:val="00E248F9"/>
    <w:rPr>
      <w:b/>
      <w:bCs/>
    </w:rPr>
  </w:style>
  <w:style w:type="character" w:customStyle="1" w:styleId="glyph">
    <w:name w:val="glyph"/>
    <w:basedOn w:val="DefaultParagraphFont"/>
    <w:rsid w:val="00E248F9"/>
  </w:style>
  <w:style w:type="character" w:customStyle="1" w:styleId="nowrap1">
    <w:name w:val="nowrap1"/>
    <w:basedOn w:val="DefaultParagraphFont"/>
    <w:rsid w:val="00E248F9"/>
  </w:style>
  <w:style w:type="table" w:styleId="LightShading-Accent1">
    <w:name w:val="Light Shading Accent 1"/>
    <w:basedOn w:val="TableNormal"/>
    <w:uiPriority w:val="60"/>
    <w:rsid w:val="00E248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E248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2">
    <w:name w:val="Medium Shading 2 - Accent 42"/>
    <w:basedOn w:val="TableNormal"/>
    <w:next w:val="MediumShading2-Accent4"/>
    <w:uiPriority w:val="64"/>
    <w:rsid w:val="00593539"/>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105F12"/>
    <w:pPr>
      <w:spacing w:after="100"/>
    </w:pPr>
  </w:style>
  <w:style w:type="paragraph" w:styleId="TOC2">
    <w:name w:val="toc 2"/>
    <w:basedOn w:val="Normal"/>
    <w:next w:val="Normal"/>
    <w:autoRedefine/>
    <w:uiPriority w:val="39"/>
    <w:unhideWhenUsed/>
    <w:rsid w:val="00105F12"/>
    <w:pPr>
      <w:spacing w:after="100"/>
      <w:ind w:left="220"/>
    </w:pPr>
  </w:style>
  <w:style w:type="paragraph" w:styleId="TOC3">
    <w:name w:val="toc 3"/>
    <w:basedOn w:val="Normal"/>
    <w:next w:val="Normal"/>
    <w:autoRedefine/>
    <w:uiPriority w:val="39"/>
    <w:unhideWhenUsed/>
    <w:rsid w:val="00105F12"/>
    <w:pPr>
      <w:spacing w:after="100"/>
      <w:ind w:left="440"/>
    </w:pPr>
    <w:rPr>
      <w:rFonts w:eastAsiaTheme="minorEastAsia"/>
    </w:rPr>
  </w:style>
  <w:style w:type="paragraph" w:styleId="TOC4">
    <w:name w:val="toc 4"/>
    <w:basedOn w:val="Normal"/>
    <w:next w:val="Normal"/>
    <w:autoRedefine/>
    <w:uiPriority w:val="39"/>
    <w:unhideWhenUsed/>
    <w:rsid w:val="00105F12"/>
    <w:pPr>
      <w:spacing w:after="100"/>
      <w:ind w:left="660"/>
    </w:pPr>
    <w:rPr>
      <w:rFonts w:eastAsiaTheme="minorEastAsia"/>
    </w:rPr>
  </w:style>
  <w:style w:type="paragraph" w:styleId="TOC5">
    <w:name w:val="toc 5"/>
    <w:basedOn w:val="Normal"/>
    <w:next w:val="Normal"/>
    <w:autoRedefine/>
    <w:uiPriority w:val="39"/>
    <w:unhideWhenUsed/>
    <w:rsid w:val="00105F12"/>
    <w:pPr>
      <w:spacing w:after="100"/>
      <w:ind w:left="880"/>
    </w:pPr>
    <w:rPr>
      <w:rFonts w:eastAsiaTheme="minorEastAsia"/>
    </w:rPr>
  </w:style>
  <w:style w:type="paragraph" w:styleId="TOC6">
    <w:name w:val="toc 6"/>
    <w:basedOn w:val="Normal"/>
    <w:next w:val="Normal"/>
    <w:autoRedefine/>
    <w:uiPriority w:val="39"/>
    <w:unhideWhenUsed/>
    <w:rsid w:val="00105F12"/>
    <w:pPr>
      <w:spacing w:after="100"/>
      <w:ind w:left="1100"/>
    </w:pPr>
    <w:rPr>
      <w:rFonts w:eastAsiaTheme="minorEastAsia"/>
    </w:rPr>
  </w:style>
  <w:style w:type="paragraph" w:styleId="TOC7">
    <w:name w:val="toc 7"/>
    <w:basedOn w:val="Normal"/>
    <w:next w:val="Normal"/>
    <w:autoRedefine/>
    <w:uiPriority w:val="39"/>
    <w:unhideWhenUsed/>
    <w:rsid w:val="00105F12"/>
    <w:pPr>
      <w:spacing w:after="100"/>
      <w:ind w:left="1320"/>
    </w:pPr>
    <w:rPr>
      <w:rFonts w:eastAsiaTheme="minorEastAsia"/>
    </w:rPr>
  </w:style>
  <w:style w:type="paragraph" w:styleId="TOC8">
    <w:name w:val="toc 8"/>
    <w:basedOn w:val="Normal"/>
    <w:next w:val="Normal"/>
    <w:autoRedefine/>
    <w:uiPriority w:val="39"/>
    <w:unhideWhenUsed/>
    <w:rsid w:val="00105F12"/>
    <w:pPr>
      <w:spacing w:after="100"/>
      <w:ind w:left="1540"/>
    </w:pPr>
    <w:rPr>
      <w:rFonts w:eastAsiaTheme="minorEastAsia"/>
    </w:rPr>
  </w:style>
  <w:style w:type="paragraph" w:styleId="TOC9">
    <w:name w:val="toc 9"/>
    <w:basedOn w:val="Normal"/>
    <w:next w:val="Normal"/>
    <w:autoRedefine/>
    <w:uiPriority w:val="39"/>
    <w:unhideWhenUsed/>
    <w:rsid w:val="00105F12"/>
    <w:pPr>
      <w:spacing w:after="100"/>
      <w:ind w:left="1760"/>
    </w:pPr>
    <w:rPr>
      <w:rFonts w:eastAsiaTheme="minorEastAsia"/>
    </w:rPr>
  </w:style>
  <w:style w:type="table" w:styleId="MediumShading1-Accent1">
    <w:name w:val="Medium Shading 1 Accent 1"/>
    <w:basedOn w:val="TableNormal"/>
    <w:uiPriority w:val="63"/>
    <w:rsid w:val="00C66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D"/>
  </w:style>
  <w:style w:type="paragraph" w:styleId="Heading1">
    <w:name w:val="heading 1"/>
    <w:basedOn w:val="Normal"/>
    <w:link w:val="Heading1Char"/>
    <w:uiPriority w:val="99"/>
    <w:qFormat/>
    <w:rsid w:val="00D030DE"/>
    <w:pPr>
      <w:keepNext/>
      <w:spacing w:after="180" w:line="240" w:lineRule="auto"/>
      <w:ind w:left="2160" w:hanging="2160"/>
      <w:outlineLvl w:val="0"/>
    </w:pPr>
    <w:rPr>
      <w:rFonts w:ascii="Book Antiqua" w:eastAsia="Times New Roman" w:hAnsi="Book Antiqua" w:cs="Times New Roman"/>
      <w:b/>
      <w:bCs/>
      <w:color w:val="5F497A"/>
      <w:kern w:val="36"/>
      <w:sz w:val="40"/>
      <w:szCs w:val="48"/>
    </w:rPr>
  </w:style>
  <w:style w:type="paragraph" w:styleId="Heading2">
    <w:name w:val="heading 2"/>
    <w:basedOn w:val="Normal"/>
    <w:next w:val="Normal"/>
    <w:link w:val="Heading2Char"/>
    <w:uiPriority w:val="99"/>
    <w:unhideWhenUsed/>
    <w:qFormat/>
    <w:rsid w:val="00D030DE"/>
    <w:pPr>
      <w:keepNext/>
      <w:spacing w:before="360" w:after="120" w:line="240" w:lineRule="auto"/>
      <w:ind w:left="720" w:hanging="720"/>
      <w:outlineLvl w:val="1"/>
    </w:pPr>
    <w:rPr>
      <w:rFonts w:asciiTheme="majorHAnsi" w:eastAsiaTheme="majorEastAsia" w:hAnsiTheme="majorHAnsi" w:cstheme="majorBidi"/>
      <w:b/>
      <w:bCs/>
      <w:color w:val="5F497A"/>
      <w:sz w:val="32"/>
      <w:szCs w:val="26"/>
    </w:rPr>
  </w:style>
  <w:style w:type="paragraph" w:styleId="Heading3">
    <w:name w:val="heading 3"/>
    <w:basedOn w:val="Normal"/>
    <w:next w:val="Normal"/>
    <w:link w:val="Heading3Char"/>
    <w:uiPriority w:val="99"/>
    <w:unhideWhenUsed/>
    <w:qFormat/>
    <w:rsid w:val="00D030DE"/>
    <w:pPr>
      <w:keepNext/>
      <w:keepLines/>
      <w:spacing w:before="240" w:after="120" w:line="240" w:lineRule="auto"/>
      <w:outlineLvl w:val="2"/>
    </w:pPr>
    <w:rPr>
      <w:rFonts w:ascii="Book Antiqua" w:eastAsiaTheme="majorEastAsia" w:hAnsi="Book Antiqua" w:cstheme="majorBidi"/>
      <w:b/>
      <w:bCs/>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D3"/>
    <w:rPr>
      <w:sz w:val="20"/>
      <w:szCs w:val="20"/>
    </w:rPr>
  </w:style>
  <w:style w:type="character" w:styleId="FootnoteReference">
    <w:name w:val="footnote reference"/>
    <w:basedOn w:val="DefaultParagraphFont"/>
    <w:uiPriority w:val="99"/>
    <w:semiHidden/>
    <w:rsid w:val="001F2ED3"/>
    <w:rPr>
      <w:vertAlign w:val="superscript"/>
    </w:rPr>
  </w:style>
  <w:style w:type="paragraph" w:styleId="BalloonText">
    <w:name w:val="Balloon Text"/>
    <w:basedOn w:val="Normal"/>
    <w:link w:val="BalloonTextChar"/>
    <w:uiPriority w:val="99"/>
    <w:semiHidden/>
    <w:unhideWhenUsed/>
    <w:rsid w:val="00F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3"/>
    <w:rPr>
      <w:rFonts w:ascii="Tahoma" w:hAnsi="Tahoma" w:cs="Tahoma"/>
      <w:sz w:val="16"/>
      <w:szCs w:val="16"/>
    </w:rPr>
  </w:style>
  <w:style w:type="character" w:styleId="Hyperlink">
    <w:name w:val="Hyperlink"/>
    <w:basedOn w:val="DefaultParagraphFont"/>
    <w:uiPriority w:val="99"/>
    <w:unhideWhenUsed/>
    <w:rsid w:val="00BA70B0"/>
    <w:rPr>
      <w:color w:val="0000FF" w:themeColor="hyperlink"/>
      <w:u w:val="single"/>
    </w:rPr>
  </w:style>
  <w:style w:type="character" w:styleId="CommentReference">
    <w:name w:val="annotation reference"/>
    <w:basedOn w:val="DefaultParagraphFont"/>
    <w:uiPriority w:val="99"/>
    <w:semiHidden/>
    <w:unhideWhenUsed/>
    <w:rsid w:val="00DE2A7F"/>
    <w:rPr>
      <w:sz w:val="16"/>
      <w:szCs w:val="16"/>
    </w:rPr>
  </w:style>
  <w:style w:type="paragraph" w:styleId="CommentText">
    <w:name w:val="annotation text"/>
    <w:basedOn w:val="Normal"/>
    <w:link w:val="CommentTextChar"/>
    <w:uiPriority w:val="99"/>
    <w:semiHidden/>
    <w:unhideWhenUsed/>
    <w:rsid w:val="00DE2A7F"/>
    <w:pPr>
      <w:spacing w:line="240" w:lineRule="auto"/>
    </w:pPr>
    <w:rPr>
      <w:sz w:val="20"/>
      <w:szCs w:val="20"/>
    </w:rPr>
  </w:style>
  <w:style w:type="character" w:customStyle="1" w:styleId="CommentTextChar">
    <w:name w:val="Comment Text Char"/>
    <w:basedOn w:val="DefaultParagraphFont"/>
    <w:link w:val="CommentText"/>
    <w:uiPriority w:val="99"/>
    <w:semiHidden/>
    <w:rsid w:val="00DE2A7F"/>
    <w:rPr>
      <w:sz w:val="20"/>
      <w:szCs w:val="20"/>
    </w:rPr>
  </w:style>
  <w:style w:type="paragraph" w:styleId="CommentSubject">
    <w:name w:val="annotation subject"/>
    <w:basedOn w:val="CommentText"/>
    <w:next w:val="CommentText"/>
    <w:link w:val="CommentSubjectChar"/>
    <w:uiPriority w:val="99"/>
    <w:semiHidden/>
    <w:unhideWhenUsed/>
    <w:rsid w:val="00DE2A7F"/>
    <w:rPr>
      <w:b/>
      <w:bCs/>
    </w:rPr>
  </w:style>
  <w:style w:type="character" w:customStyle="1" w:styleId="CommentSubjectChar">
    <w:name w:val="Comment Subject Char"/>
    <w:basedOn w:val="CommentTextChar"/>
    <w:link w:val="CommentSubject"/>
    <w:uiPriority w:val="99"/>
    <w:semiHidden/>
    <w:rsid w:val="00DE2A7F"/>
    <w:rPr>
      <w:b/>
      <w:bCs/>
      <w:sz w:val="20"/>
      <w:szCs w:val="20"/>
    </w:rPr>
  </w:style>
  <w:style w:type="paragraph" w:styleId="ListParagraph">
    <w:name w:val="List Paragraph"/>
    <w:basedOn w:val="Normal"/>
    <w:uiPriority w:val="34"/>
    <w:qFormat/>
    <w:rsid w:val="00DC4C57"/>
    <w:pPr>
      <w:ind w:left="720"/>
      <w:contextualSpacing/>
    </w:pPr>
  </w:style>
  <w:style w:type="paragraph" w:styleId="NormalWeb">
    <w:name w:val="Normal (Web)"/>
    <w:basedOn w:val="Normal"/>
    <w:uiPriority w:val="99"/>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FB1974"/>
  </w:style>
  <w:style w:type="paragraph" w:styleId="Revision">
    <w:name w:val="Revision"/>
    <w:hidden/>
    <w:uiPriority w:val="99"/>
    <w:semiHidden/>
    <w:rsid w:val="003E286D"/>
    <w:pPr>
      <w:spacing w:after="0" w:line="240" w:lineRule="auto"/>
    </w:pPr>
  </w:style>
  <w:style w:type="paragraph" w:styleId="Header">
    <w:name w:val="header"/>
    <w:basedOn w:val="Normal"/>
    <w:link w:val="HeaderChar"/>
    <w:uiPriority w:val="99"/>
    <w:unhideWhenUsed/>
    <w:rsid w:val="001F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10"/>
  </w:style>
  <w:style w:type="paragraph" w:styleId="Footer">
    <w:name w:val="footer"/>
    <w:basedOn w:val="Normal"/>
    <w:link w:val="FooterChar"/>
    <w:uiPriority w:val="99"/>
    <w:unhideWhenUsed/>
    <w:rsid w:val="001F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10"/>
  </w:style>
  <w:style w:type="character" w:styleId="FollowedHyperlink">
    <w:name w:val="FollowedHyperlink"/>
    <w:basedOn w:val="DefaultParagraphFont"/>
    <w:uiPriority w:val="99"/>
    <w:semiHidden/>
    <w:unhideWhenUsed/>
    <w:rsid w:val="00BC2F77"/>
    <w:rPr>
      <w:color w:val="800080" w:themeColor="followedHyperlink"/>
      <w:u w:val="single"/>
    </w:rPr>
  </w:style>
  <w:style w:type="character" w:customStyle="1" w:styleId="Heading1Char">
    <w:name w:val="Heading 1 Char"/>
    <w:basedOn w:val="DefaultParagraphFont"/>
    <w:link w:val="Heading1"/>
    <w:uiPriority w:val="99"/>
    <w:rsid w:val="00D030DE"/>
    <w:rPr>
      <w:rFonts w:ascii="Book Antiqua" w:eastAsia="Times New Roman" w:hAnsi="Book Antiqua" w:cs="Times New Roman"/>
      <w:b/>
      <w:bCs/>
      <w:color w:val="5F497A"/>
      <w:kern w:val="36"/>
      <w:sz w:val="40"/>
      <w:szCs w:val="48"/>
    </w:rPr>
  </w:style>
  <w:style w:type="paragraph" w:styleId="EndnoteText">
    <w:name w:val="endnote text"/>
    <w:basedOn w:val="Normal"/>
    <w:link w:val="EndnoteTextChar"/>
    <w:uiPriority w:val="99"/>
    <w:semiHidden/>
    <w:unhideWhenUsed/>
    <w:rsid w:val="00BD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19F"/>
    <w:rPr>
      <w:sz w:val="20"/>
      <w:szCs w:val="20"/>
    </w:rPr>
  </w:style>
  <w:style w:type="character" w:styleId="EndnoteReference">
    <w:name w:val="endnote reference"/>
    <w:basedOn w:val="DefaultParagraphFont"/>
    <w:uiPriority w:val="99"/>
    <w:semiHidden/>
    <w:unhideWhenUsed/>
    <w:rsid w:val="00BD419F"/>
    <w:rPr>
      <w:vertAlign w:val="superscript"/>
    </w:rPr>
  </w:style>
  <w:style w:type="paragraph" w:customStyle="1" w:styleId="Default">
    <w:name w:val="Default"/>
    <w:rsid w:val="00F32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D030DE"/>
    <w:rPr>
      <w:rFonts w:asciiTheme="majorHAnsi" w:eastAsiaTheme="majorEastAsia" w:hAnsiTheme="majorHAnsi" w:cstheme="majorBidi"/>
      <w:b/>
      <w:bCs/>
      <w:color w:val="5F497A"/>
      <w:sz w:val="32"/>
      <w:szCs w:val="26"/>
    </w:rPr>
  </w:style>
  <w:style w:type="character" w:customStyle="1" w:styleId="Heading3Char">
    <w:name w:val="Heading 3 Char"/>
    <w:basedOn w:val="DefaultParagraphFont"/>
    <w:link w:val="Heading3"/>
    <w:uiPriority w:val="99"/>
    <w:rsid w:val="00D030DE"/>
    <w:rPr>
      <w:rFonts w:ascii="Book Antiqua" w:eastAsiaTheme="majorEastAsia" w:hAnsi="Book Antiqua" w:cstheme="majorBidi"/>
      <w:b/>
      <w:bCs/>
      <w:color w:val="5F497A"/>
      <w:sz w:val="28"/>
    </w:rPr>
  </w:style>
  <w:style w:type="paragraph" w:customStyle="1" w:styleId="Bullet1">
    <w:name w:val="Bullet 1"/>
    <w:basedOn w:val="Normal"/>
    <w:qFormat/>
    <w:rsid w:val="008419F1"/>
    <w:pPr>
      <w:keepNext/>
      <w:keepLines/>
      <w:numPr>
        <w:numId w:val="1"/>
      </w:numPr>
      <w:spacing w:after="60" w:line="240" w:lineRule="auto"/>
    </w:pPr>
    <w:rPr>
      <w:rFonts w:ascii="Book Antiqua" w:eastAsia="MS ??" w:hAnsi="Book Antiqua" w:cs="Calibri"/>
      <w:spacing w:val="-2"/>
    </w:rPr>
  </w:style>
  <w:style w:type="table" w:customStyle="1" w:styleId="LightShading-Accent51">
    <w:name w:val="Light Shading - Accent 51"/>
    <w:basedOn w:val="TableNormal"/>
    <w:next w:val="LightShading-Accent5"/>
    <w:uiPriority w:val="60"/>
    <w:rsid w:val="008419F1"/>
    <w:pPr>
      <w:spacing w:after="0" w:line="240" w:lineRule="auto"/>
    </w:pPr>
    <w:rPr>
      <w:rFonts w:eastAsia="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justify">
    <w:name w:val="justify"/>
    <w:basedOn w:val="DefaultParagraphFont"/>
    <w:rsid w:val="008419F1"/>
  </w:style>
  <w:style w:type="table" w:styleId="LightShading-Accent5">
    <w:name w:val="Light Shading Accent 5"/>
    <w:basedOn w:val="TableNormal"/>
    <w:uiPriority w:val="60"/>
    <w:rsid w:val="008419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1">
    <w:name w:val="No List1"/>
    <w:next w:val="NoList"/>
    <w:uiPriority w:val="99"/>
    <w:semiHidden/>
    <w:unhideWhenUsed/>
    <w:rsid w:val="00E248F9"/>
  </w:style>
  <w:style w:type="character" w:styleId="Strong">
    <w:name w:val="Strong"/>
    <w:basedOn w:val="DefaultParagraphFont"/>
    <w:uiPriority w:val="22"/>
    <w:rsid w:val="00E248F9"/>
    <w:rPr>
      <w:b/>
    </w:rPr>
  </w:style>
  <w:style w:type="table" w:customStyle="1" w:styleId="LightShading-Accent11">
    <w:name w:val="Light Shading - Accent 11"/>
    <w:basedOn w:val="TableNormal"/>
    <w:next w:val="LightShading-Accent1"/>
    <w:uiPriority w:val="60"/>
    <w:rsid w:val="00E248F9"/>
    <w:pPr>
      <w:spacing w:after="0" w:line="240" w:lineRule="auto"/>
    </w:pPr>
    <w:rPr>
      <w:rFonts w:eastAsia="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E248F9"/>
    <w:rPr>
      <w:i/>
      <w:iCs/>
    </w:rPr>
  </w:style>
  <w:style w:type="table" w:styleId="TableGrid">
    <w:name w:val="Table Grid"/>
    <w:basedOn w:val="TableNormal"/>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48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8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030DE"/>
    <w:pPr>
      <w:keepNext/>
      <w:spacing w:before="60" w:after="60" w:line="300" w:lineRule="exact"/>
      <w:jc w:val="center"/>
    </w:pPr>
    <w:rPr>
      <w:rFonts w:ascii="Book Antiqua" w:eastAsia="Cambria" w:hAnsi="Book Antiqua" w:cs="Times New Roman"/>
      <w:b/>
      <w:smallCaps/>
      <w:color w:val="FFFFFF" w:themeColor="background1"/>
      <w:sz w:val="20"/>
    </w:rPr>
  </w:style>
  <w:style w:type="paragraph" w:customStyle="1" w:styleId="TableText">
    <w:name w:val="Table Text"/>
    <w:basedOn w:val="Normal"/>
    <w:qFormat/>
    <w:rsid w:val="00E248F9"/>
    <w:pPr>
      <w:spacing w:before="60" w:after="60" w:line="260" w:lineRule="exact"/>
    </w:pPr>
    <w:rPr>
      <w:rFonts w:ascii="Calibri" w:eastAsia="MS ??" w:hAnsi="Calibri" w:cs="Calibri"/>
      <w:spacing w:val="-2"/>
      <w:sz w:val="24"/>
    </w:rPr>
  </w:style>
  <w:style w:type="paragraph" w:customStyle="1" w:styleId="ReportTitle">
    <w:name w:val="Report Title"/>
    <w:basedOn w:val="Normal"/>
    <w:qFormat/>
    <w:rsid w:val="00E248F9"/>
    <w:pPr>
      <w:spacing w:after="240" w:line="240" w:lineRule="auto"/>
    </w:pPr>
    <w:rPr>
      <w:rFonts w:ascii="Book Antiqua" w:eastAsia="MS ??" w:hAnsi="Book Antiqua" w:cs="Calibri"/>
      <w:b/>
      <w:smallCaps/>
      <w:color w:val="31849B"/>
      <w:spacing w:val="-2"/>
      <w:sz w:val="64"/>
      <w:szCs w:val="64"/>
    </w:rPr>
  </w:style>
  <w:style w:type="paragraph" w:customStyle="1" w:styleId="ChapterTitle">
    <w:name w:val="Chapter Title"/>
    <w:basedOn w:val="Normal"/>
    <w:qFormat/>
    <w:rsid w:val="00E248F9"/>
    <w:pPr>
      <w:spacing w:after="120" w:line="240" w:lineRule="auto"/>
    </w:pPr>
    <w:rPr>
      <w:rFonts w:ascii="Book Antiqua" w:eastAsia="MS ??" w:hAnsi="Book Antiqua" w:cs="Calibri"/>
      <w:b/>
      <w:smallCaps/>
      <w:color w:val="5F497A"/>
      <w:spacing w:val="-2"/>
      <w:sz w:val="56"/>
      <w:szCs w:val="56"/>
    </w:rPr>
  </w:style>
  <w:style w:type="table" w:customStyle="1" w:styleId="MediumShading2-Accent41">
    <w:name w:val="Medium Shading 2 - Accent 41"/>
    <w:basedOn w:val="TableNormal"/>
    <w:next w:val="MediumShading2-Accent4"/>
    <w:uiPriority w:val="64"/>
    <w:rsid w:val="00E248F9"/>
    <w:pPr>
      <w:spacing w:after="0" w:line="240" w:lineRule="auto"/>
    </w:pPr>
    <w:rPr>
      <w:rFonts w:eastAsia="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248F9"/>
  </w:style>
  <w:style w:type="paragraph" w:customStyle="1" w:styleId="bulletindent11">
    <w:name w:val="bulletindent11"/>
    <w:basedOn w:val="Normal"/>
    <w:rsid w:val="00E248F9"/>
    <w:pPr>
      <w:spacing w:before="18" w:after="18" w:line="336" w:lineRule="auto"/>
      <w:ind w:left="295"/>
    </w:pPr>
    <w:rPr>
      <w:rFonts w:ascii="Times New Roman" w:eastAsia="Times New Roman" w:hAnsi="Times New Roman" w:cs="Times New Roman"/>
      <w:sz w:val="24"/>
      <w:szCs w:val="24"/>
    </w:rPr>
  </w:style>
  <w:style w:type="paragraph" w:customStyle="1" w:styleId="headinganchor1">
    <w:name w:val="headinganchor1"/>
    <w:basedOn w:val="Normal"/>
    <w:rsid w:val="00E248F9"/>
    <w:pPr>
      <w:spacing w:after="92" w:line="336" w:lineRule="auto"/>
    </w:pPr>
    <w:rPr>
      <w:rFonts w:ascii="Times New Roman" w:eastAsia="Times New Roman" w:hAnsi="Times New Roman" w:cs="Times New Roman"/>
      <w:sz w:val="24"/>
      <w:szCs w:val="24"/>
    </w:rPr>
  </w:style>
  <w:style w:type="character" w:customStyle="1" w:styleId="h14">
    <w:name w:val="h14"/>
    <w:basedOn w:val="DefaultParagraphFont"/>
    <w:rsid w:val="00E248F9"/>
    <w:rPr>
      <w:b/>
      <w:bCs/>
    </w:rPr>
  </w:style>
  <w:style w:type="character" w:customStyle="1" w:styleId="glyph">
    <w:name w:val="glyph"/>
    <w:basedOn w:val="DefaultParagraphFont"/>
    <w:rsid w:val="00E248F9"/>
  </w:style>
  <w:style w:type="character" w:customStyle="1" w:styleId="nowrap1">
    <w:name w:val="nowrap1"/>
    <w:basedOn w:val="DefaultParagraphFont"/>
    <w:rsid w:val="00E248F9"/>
  </w:style>
  <w:style w:type="table" w:styleId="LightShading-Accent1">
    <w:name w:val="Light Shading Accent 1"/>
    <w:basedOn w:val="TableNormal"/>
    <w:uiPriority w:val="60"/>
    <w:rsid w:val="00E248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E248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2">
    <w:name w:val="Medium Shading 2 - Accent 42"/>
    <w:basedOn w:val="TableNormal"/>
    <w:next w:val="MediumShading2-Accent4"/>
    <w:uiPriority w:val="64"/>
    <w:rsid w:val="00593539"/>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105F12"/>
    <w:pPr>
      <w:spacing w:after="100"/>
    </w:pPr>
  </w:style>
  <w:style w:type="paragraph" w:styleId="TOC2">
    <w:name w:val="toc 2"/>
    <w:basedOn w:val="Normal"/>
    <w:next w:val="Normal"/>
    <w:autoRedefine/>
    <w:uiPriority w:val="39"/>
    <w:unhideWhenUsed/>
    <w:rsid w:val="00105F12"/>
    <w:pPr>
      <w:spacing w:after="100"/>
      <w:ind w:left="220"/>
    </w:pPr>
  </w:style>
  <w:style w:type="paragraph" w:styleId="TOC3">
    <w:name w:val="toc 3"/>
    <w:basedOn w:val="Normal"/>
    <w:next w:val="Normal"/>
    <w:autoRedefine/>
    <w:uiPriority w:val="39"/>
    <w:unhideWhenUsed/>
    <w:rsid w:val="00105F12"/>
    <w:pPr>
      <w:spacing w:after="100"/>
      <w:ind w:left="440"/>
    </w:pPr>
    <w:rPr>
      <w:rFonts w:eastAsiaTheme="minorEastAsia"/>
    </w:rPr>
  </w:style>
  <w:style w:type="paragraph" w:styleId="TOC4">
    <w:name w:val="toc 4"/>
    <w:basedOn w:val="Normal"/>
    <w:next w:val="Normal"/>
    <w:autoRedefine/>
    <w:uiPriority w:val="39"/>
    <w:unhideWhenUsed/>
    <w:rsid w:val="00105F12"/>
    <w:pPr>
      <w:spacing w:after="100"/>
      <w:ind w:left="660"/>
    </w:pPr>
    <w:rPr>
      <w:rFonts w:eastAsiaTheme="minorEastAsia"/>
    </w:rPr>
  </w:style>
  <w:style w:type="paragraph" w:styleId="TOC5">
    <w:name w:val="toc 5"/>
    <w:basedOn w:val="Normal"/>
    <w:next w:val="Normal"/>
    <w:autoRedefine/>
    <w:uiPriority w:val="39"/>
    <w:unhideWhenUsed/>
    <w:rsid w:val="00105F12"/>
    <w:pPr>
      <w:spacing w:after="100"/>
      <w:ind w:left="880"/>
    </w:pPr>
    <w:rPr>
      <w:rFonts w:eastAsiaTheme="minorEastAsia"/>
    </w:rPr>
  </w:style>
  <w:style w:type="paragraph" w:styleId="TOC6">
    <w:name w:val="toc 6"/>
    <w:basedOn w:val="Normal"/>
    <w:next w:val="Normal"/>
    <w:autoRedefine/>
    <w:uiPriority w:val="39"/>
    <w:unhideWhenUsed/>
    <w:rsid w:val="00105F12"/>
    <w:pPr>
      <w:spacing w:after="100"/>
      <w:ind w:left="1100"/>
    </w:pPr>
    <w:rPr>
      <w:rFonts w:eastAsiaTheme="minorEastAsia"/>
    </w:rPr>
  </w:style>
  <w:style w:type="paragraph" w:styleId="TOC7">
    <w:name w:val="toc 7"/>
    <w:basedOn w:val="Normal"/>
    <w:next w:val="Normal"/>
    <w:autoRedefine/>
    <w:uiPriority w:val="39"/>
    <w:unhideWhenUsed/>
    <w:rsid w:val="00105F12"/>
    <w:pPr>
      <w:spacing w:after="100"/>
      <w:ind w:left="1320"/>
    </w:pPr>
    <w:rPr>
      <w:rFonts w:eastAsiaTheme="minorEastAsia"/>
    </w:rPr>
  </w:style>
  <w:style w:type="paragraph" w:styleId="TOC8">
    <w:name w:val="toc 8"/>
    <w:basedOn w:val="Normal"/>
    <w:next w:val="Normal"/>
    <w:autoRedefine/>
    <w:uiPriority w:val="39"/>
    <w:unhideWhenUsed/>
    <w:rsid w:val="00105F12"/>
    <w:pPr>
      <w:spacing w:after="100"/>
      <w:ind w:left="1540"/>
    </w:pPr>
    <w:rPr>
      <w:rFonts w:eastAsiaTheme="minorEastAsia"/>
    </w:rPr>
  </w:style>
  <w:style w:type="paragraph" w:styleId="TOC9">
    <w:name w:val="toc 9"/>
    <w:basedOn w:val="Normal"/>
    <w:next w:val="Normal"/>
    <w:autoRedefine/>
    <w:uiPriority w:val="39"/>
    <w:unhideWhenUsed/>
    <w:rsid w:val="00105F12"/>
    <w:pPr>
      <w:spacing w:after="100"/>
      <w:ind w:left="1760"/>
    </w:pPr>
    <w:rPr>
      <w:rFonts w:eastAsiaTheme="minorEastAsia"/>
    </w:rPr>
  </w:style>
  <w:style w:type="table" w:styleId="MediumShading1-Accent1">
    <w:name w:val="Medium Shading 1 Accent 1"/>
    <w:basedOn w:val="TableNormal"/>
    <w:uiPriority w:val="63"/>
    <w:rsid w:val="00C66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217">
      <w:bodyDiv w:val="1"/>
      <w:marLeft w:val="0"/>
      <w:marRight w:val="0"/>
      <w:marTop w:val="0"/>
      <w:marBottom w:val="0"/>
      <w:divBdr>
        <w:top w:val="none" w:sz="0" w:space="0" w:color="auto"/>
        <w:left w:val="none" w:sz="0" w:space="0" w:color="auto"/>
        <w:bottom w:val="none" w:sz="0" w:space="0" w:color="auto"/>
        <w:right w:val="none" w:sz="0" w:space="0" w:color="auto"/>
      </w:divBdr>
      <w:divsChild>
        <w:div w:id="1651985421">
          <w:marLeft w:val="0"/>
          <w:marRight w:val="0"/>
          <w:marTop w:val="0"/>
          <w:marBottom w:val="0"/>
          <w:divBdr>
            <w:top w:val="none" w:sz="0" w:space="0" w:color="auto"/>
            <w:left w:val="none" w:sz="0" w:space="0" w:color="auto"/>
            <w:bottom w:val="none" w:sz="0" w:space="0" w:color="auto"/>
            <w:right w:val="none" w:sz="0" w:space="0" w:color="auto"/>
          </w:divBdr>
          <w:divsChild>
            <w:div w:id="731003467">
              <w:marLeft w:val="0"/>
              <w:marRight w:val="0"/>
              <w:marTop w:val="0"/>
              <w:marBottom w:val="0"/>
              <w:divBdr>
                <w:top w:val="none" w:sz="0" w:space="0" w:color="auto"/>
                <w:left w:val="none" w:sz="0" w:space="0" w:color="auto"/>
                <w:bottom w:val="none" w:sz="0" w:space="0" w:color="auto"/>
                <w:right w:val="none" w:sz="0" w:space="0" w:color="auto"/>
              </w:divBdr>
              <w:divsChild>
                <w:div w:id="16739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2301">
      <w:bodyDiv w:val="1"/>
      <w:marLeft w:val="0"/>
      <w:marRight w:val="0"/>
      <w:marTop w:val="0"/>
      <w:marBottom w:val="0"/>
      <w:divBdr>
        <w:top w:val="none" w:sz="0" w:space="0" w:color="auto"/>
        <w:left w:val="none" w:sz="0" w:space="0" w:color="auto"/>
        <w:bottom w:val="none" w:sz="0" w:space="0" w:color="auto"/>
        <w:right w:val="none" w:sz="0" w:space="0" w:color="auto"/>
      </w:divBdr>
      <w:divsChild>
        <w:div w:id="885994951">
          <w:marLeft w:val="0"/>
          <w:marRight w:val="0"/>
          <w:marTop w:val="0"/>
          <w:marBottom w:val="0"/>
          <w:divBdr>
            <w:top w:val="none" w:sz="0" w:space="0" w:color="auto"/>
            <w:left w:val="none" w:sz="0" w:space="0" w:color="auto"/>
            <w:bottom w:val="none" w:sz="0" w:space="0" w:color="auto"/>
            <w:right w:val="none" w:sz="0" w:space="0" w:color="auto"/>
          </w:divBdr>
          <w:divsChild>
            <w:div w:id="1432311475">
              <w:marLeft w:val="0"/>
              <w:marRight w:val="0"/>
              <w:marTop w:val="0"/>
              <w:marBottom w:val="0"/>
              <w:divBdr>
                <w:top w:val="none" w:sz="0" w:space="0" w:color="auto"/>
                <w:left w:val="none" w:sz="0" w:space="0" w:color="auto"/>
                <w:bottom w:val="none" w:sz="0" w:space="0" w:color="auto"/>
                <w:right w:val="none" w:sz="0" w:space="0" w:color="auto"/>
              </w:divBdr>
              <w:divsChild>
                <w:div w:id="687488180">
                  <w:marLeft w:val="0"/>
                  <w:marRight w:val="0"/>
                  <w:marTop w:val="0"/>
                  <w:marBottom w:val="0"/>
                  <w:divBdr>
                    <w:top w:val="none" w:sz="0" w:space="0" w:color="auto"/>
                    <w:left w:val="none" w:sz="0" w:space="0" w:color="auto"/>
                    <w:bottom w:val="none" w:sz="0" w:space="0" w:color="auto"/>
                    <w:right w:val="none" w:sz="0" w:space="0" w:color="auto"/>
                  </w:divBdr>
                  <w:divsChild>
                    <w:div w:id="18697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0350">
      <w:bodyDiv w:val="1"/>
      <w:marLeft w:val="0"/>
      <w:marRight w:val="0"/>
      <w:marTop w:val="0"/>
      <w:marBottom w:val="0"/>
      <w:divBdr>
        <w:top w:val="none" w:sz="0" w:space="0" w:color="auto"/>
        <w:left w:val="none" w:sz="0" w:space="0" w:color="auto"/>
        <w:bottom w:val="none" w:sz="0" w:space="0" w:color="auto"/>
        <w:right w:val="none" w:sz="0" w:space="0" w:color="auto"/>
      </w:divBdr>
      <w:divsChild>
        <w:div w:id="2014145028">
          <w:marLeft w:val="0"/>
          <w:marRight w:val="0"/>
          <w:marTop w:val="0"/>
          <w:marBottom w:val="0"/>
          <w:divBdr>
            <w:top w:val="none" w:sz="0" w:space="0" w:color="auto"/>
            <w:left w:val="none" w:sz="0" w:space="0" w:color="auto"/>
            <w:bottom w:val="none" w:sz="0" w:space="0" w:color="auto"/>
            <w:right w:val="none" w:sz="0" w:space="0" w:color="auto"/>
          </w:divBdr>
          <w:divsChild>
            <w:div w:id="1471363433">
              <w:marLeft w:val="0"/>
              <w:marRight w:val="0"/>
              <w:marTop w:val="0"/>
              <w:marBottom w:val="0"/>
              <w:divBdr>
                <w:top w:val="none" w:sz="0" w:space="0" w:color="auto"/>
                <w:left w:val="none" w:sz="0" w:space="0" w:color="auto"/>
                <w:bottom w:val="none" w:sz="0" w:space="0" w:color="auto"/>
                <w:right w:val="none" w:sz="0" w:space="0" w:color="auto"/>
              </w:divBdr>
              <w:divsChild>
                <w:div w:id="1607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0053">
      <w:bodyDiv w:val="1"/>
      <w:marLeft w:val="0"/>
      <w:marRight w:val="0"/>
      <w:marTop w:val="0"/>
      <w:marBottom w:val="0"/>
      <w:divBdr>
        <w:top w:val="none" w:sz="0" w:space="0" w:color="auto"/>
        <w:left w:val="none" w:sz="0" w:space="0" w:color="auto"/>
        <w:bottom w:val="none" w:sz="0" w:space="0" w:color="auto"/>
        <w:right w:val="none" w:sz="0" w:space="0" w:color="auto"/>
      </w:divBdr>
      <w:divsChild>
        <w:div w:id="946155813">
          <w:marLeft w:val="0"/>
          <w:marRight w:val="0"/>
          <w:marTop w:val="0"/>
          <w:marBottom w:val="0"/>
          <w:divBdr>
            <w:top w:val="none" w:sz="0" w:space="0" w:color="auto"/>
            <w:left w:val="none" w:sz="0" w:space="0" w:color="auto"/>
            <w:bottom w:val="none" w:sz="0" w:space="0" w:color="auto"/>
            <w:right w:val="none" w:sz="0" w:space="0" w:color="auto"/>
          </w:divBdr>
          <w:divsChild>
            <w:div w:id="582879070">
              <w:marLeft w:val="0"/>
              <w:marRight w:val="0"/>
              <w:marTop w:val="0"/>
              <w:marBottom w:val="0"/>
              <w:divBdr>
                <w:top w:val="none" w:sz="0" w:space="0" w:color="auto"/>
                <w:left w:val="none" w:sz="0" w:space="0" w:color="auto"/>
                <w:bottom w:val="none" w:sz="0" w:space="0" w:color="auto"/>
                <w:right w:val="none" w:sz="0" w:space="0" w:color="auto"/>
              </w:divBdr>
              <w:divsChild>
                <w:div w:id="221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D451-360D-43EE-9D91-C199CE9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4100</Words>
  <Characters>24917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Care_for_Geriatric_Consumers_and_Service_Capacity:A_Self-Assessment_Tool</vt:lpstr>
    </vt:vector>
  </TitlesOfParts>
  <Company>The Lewin Group</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Care_for_Geriatric_Consumers_and_Service_Capacity:A_Self-Assessment_Tool</dc:title>
  <dc:subject>Geriatric Competent Care</dc:subject>
  <dc:creator>The Lewin Group</dc:creator>
  <cp:keywords>Geriatric Self-Assessment Tool</cp:keywords>
  <cp:lastModifiedBy>Jessie Micholuk</cp:lastModifiedBy>
  <cp:revision>10</cp:revision>
  <cp:lastPrinted>2016-03-14T17:38:00Z</cp:lastPrinted>
  <dcterms:created xsi:type="dcterms:W3CDTF">2016-03-14T20:09:00Z</dcterms:created>
  <dcterms:modified xsi:type="dcterms:W3CDTF">2016-05-09T19:25:00Z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