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Default="00A57626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  <w:t>Geriatric Services Capacity Assessment</w:t>
      </w:r>
    </w:p>
    <w:p w:rsidR="00A57626" w:rsidRDefault="00A57626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</w:p>
    <w:p w:rsidR="00A30417" w:rsidRDefault="00A30417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  <w:t>Domain 8 – Geriatric Assessment</w:t>
      </w:r>
    </w:p>
    <w:p w:rsidR="00A57626" w:rsidRPr="009451D9" w:rsidRDefault="00A57626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bookmarkStart w:id="0" w:name="_GoBack"/>
      <w:bookmarkEnd w:id="0"/>
    </w:p>
    <w:p w:rsidR="00C66E9A" w:rsidRPr="009451D9" w:rsidRDefault="00C66E9A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</w:pPr>
      <w:r w:rsidRPr="009451D9"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  <w:t>Assessing your Results</w:t>
      </w:r>
    </w:p>
    <w:p w:rsidR="00E72147" w:rsidRDefault="00E72147" w:rsidP="008419F1">
      <w:pPr>
        <w:spacing w:after="120" w:line="240" w:lineRule="auto"/>
        <w:rPr>
          <w:rFonts w:ascii="Book Antiqua" w:eastAsia="MS ??" w:hAnsi="Book Antiqua" w:cs="Calibri"/>
          <w:color w:val="5F497A"/>
          <w:spacing w:val="-2"/>
        </w:rPr>
        <w:sectPr w:rsidR="00E72147" w:rsidSect="00AC6120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720"/>
          <w:docGrid w:linePitch="360"/>
        </w:sectPr>
      </w:pPr>
    </w:p>
    <w:p w:rsidR="0085085F" w:rsidRDefault="005A4ABD" w:rsidP="00727E1C">
      <w:pPr>
        <w:pStyle w:val="Heading1"/>
        <w:rPr>
          <w:rFonts w:eastAsia="MS ??"/>
        </w:rPr>
      </w:pPr>
      <w:r>
        <w:rPr>
          <w:rFonts w:eastAsia="MS ??"/>
        </w:rPr>
        <w:lastRenderedPageBreak/>
        <w:t>Domain 8:</w:t>
      </w:r>
      <w:r>
        <w:rPr>
          <w:rFonts w:eastAsia="MS ??"/>
        </w:rPr>
        <w:tab/>
      </w:r>
      <w:r w:rsidR="000D0B3D" w:rsidRPr="002E0432">
        <w:rPr>
          <w:rFonts w:eastAsia="MS ??"/>
        </w:rPr>
        <w:t>Geriatric Assessment</w:t>
      </w:r>
    </w:p>
    <w:p w:rsidR="005A4ABD" w:rsidRDefault="005A4ABD" w:rsidP="005A4ABD">
      <w:pPr>
        <w:pStyle w:val="Heading2"/>
        <w:spacing w:before="0"/>
        <w:rPr>
          <w:rFonts w:eastAsia="MS ??"/>
        </w:rPr>
      </w:pPr>
      <w:r w:rsidRPr="005A4ABD">
        <w:rPr>
          <w:rFonts w:eastAsia="MS ??"/>
        </w:rPr>
        <w:t>8.1</w:t>
      </w:r>
      <w:r w:rsidRPr="005A4ABD">
        <w:rPr>
          <w:rFonts w:eastAsia="MS ??"/>
        </w:rPr>
        <w:tab/>
        <w:t xml:space="preserve">Assessment </w:t>
      </w:r>
      <w:r>
        <w:rPr>
          <w:rFonts w:eastAsia="MS ??"/>
        </w:rPr>
        <w:t>a</w:t>
      </w:r>
      <w:r w:rsidRPr="005A4ABD">
        <w:rPr>
          <w:rFonts w:eastAsia="MS ??"/>
        </w:rPr>
        <w:t>nd Approach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8:  Geriatric Assessment, &#10;8.1 Assessment and Approach&#10;"/>
      </w:tblPr>
      <w:tblGrid>
        <w:gridCol w:w="4878"/>
        <w:gridCol w:w="2214"/>
        <w:gridCol w:w="2646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8.1.1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 xml:space="preserve">Are clinical environments accessible to geriatric consumers?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8.1.2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 xml:space="preserve">Are clinical environments comfortable for geriatric consumers?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8.1.3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 xml:space="preserve">Can providers manage geriatric cross-cultural interactions?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 xml:space="preserve">8.1.4 </w:t>
            </w:r>
            <w:r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Do providers strive to gain the trust of the older consumer?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8.1.5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Can providers select an appropriate interpreter if necessary?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8.1.6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 providers use respectful and appropriate non-verbal communication? 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8.1.7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Are providers capable of conducting an </w:t>
            </w:r>
            <w:proofErr w:type="spellStart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ethnogeriatric</w:t>
            </w:r>
            <w:proofErr w:type="spellEnd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 assessment? 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8.1.8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 providers conduct family assessments? 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8.1.9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 providers conduct home assessments? 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8.1.10 </w:t>
            </w:r>
            <w:r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Are providers sensitive to cultural differences when conducting physical exams?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8.1.11 </w:t>
            </w:r>
            <w:r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 xml:space="preserve">Do providers assess and discuss end-of-life preferences? 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5A4ABD" w:rsidRDefault="005A4ABD" w:rsidP="005A4ABD">
      <w:pPr>
        <w:pStyle w:val="Heading2"/>
        <w:rPr>
          <w:rFonts w:eastAsia="MS ??"/>
        </w:rPr>
      </w:pPr>
      <w:r w:rsidRPr="005A4ABD">
        <w:rPr>
          <w:rFonts w:eastAsia="MS ??"/>
        </w:rPr>
        <w:t>8.2</w:t>
      </w:r>
      <w:r w:rsidRPr="005A4ABD">
        <w:rPr>
          <w:rFonts w:eastAsia="MS ??"/>
        </w:rPr>
        <w:tab/>
        <w:t xml:space="preserve">Conducting Assessments </w:t>
      </w:r>
      <w:r>
        <w:rPr>
          <w:rFonts w:eastAsia="MS ??"/>
        </w:rPr>
        <w:t>a</w:t>
      </w:r>
      <w:r w:rsidRPr="005A4ABD">
        <w:rPr>
          <w:rFonts w:eastAsia="MS ??"/>
        </w:rPr>
        <w:t>nd Screening Tools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8:  Geriatric Assessment, &#10;8.2 Conducting Assessments and Screening Tools"/>
      </w:tblPr>
      <w:tblGrid>
        <w:gridCol w:w="4878"/>
        <w:gridCol w:w="2214"/>
        <w:gridCol w:w="2646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8.2.1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Are assessment tools and forms appropriate for geriatric consumers of all educational levels?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8.2.2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Are assessment tools and forms appropriate for geriatric consumers with visual impairment?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8.2.3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translated materials available and adequate?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8.2.4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providers make use of culturally-appropriate assessment measures?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5A4ABD" w:rsidRDefault="005A4ABD" w:rsidP="005A4ABD">
      <w:pPr>
        <w:pStyle w:val="Heading2"/>
        <w:rPr>
          <w:rFonts w:eastAsia="MS ??"/>
        </w:rPr>
      </w:pPr>
      <w:r w:rsidRPr="005A4ABD">
        <w:rPr>
          <w:rFonts w:eastAsia="MS ??"/>
        </w:rPr>
        <w:lastRenderedPageBreak/>
        <w:t>8.3</w:t>
      </w:r>
      <w:r w:rsidRPr="005A4ABD">
        <w:rPr>
          <w:rFonts w:eastAsia="MS ??"/>
        </w:rPr>
        <w:tab/>
        <w:t>Appropriate Prescribing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8:  Geriatric Assessment, &#10;8.3 Appropriate Prescribing"/>
      </w:tblPr>
      <w:tblGrid>
        <w:gridCol w:w="4878"/>
        <w:gridCol w:w="2214"/>
        <w:gridCol w:w="2646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8.3.1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 providers consider age-related body changes and comorbidities when prescribing?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8.3.2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 providers take necessary precautions to avoid adverse drug events?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8.3.3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Are providers familiar with the most current Beers criteria?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8.3.4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members of the IDT routinely review a consumer’s medications?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5A4ABD" w:rsidRPr="002E0432" w:rsidRDefault="005A4ABD" w:rsidP="005A4ABD">
      <w:pPr>
        <w:pStyle w:val="Heading2"/>
        <w:rPr>
          <w:rFonts w:eastAsia="MS ??"/>
        </w:rPr>
      </w:pPr>
      <w:r w:rsidRPr="005A4ABD">
        <w:rPr>
          <w:rFonts w:eastAsia="MS ??"/>
        </w:rPr>
        <w:t>8.4</w:t>
      </w:r>
      <w:r w:rsidRPr="005A4ABD">
        <w:rPr>
          <w:rFonts w:eastAsia="MS ??"/>
        </w:rPr>
        <w:tab/>
        <w:t>Preventative Care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8:  Geriatric Assessment, &#10;8.4 Preventive Care"/>
      </w:tblPr>
      <w:tblGrid>
        <w:gridCol w:w="4878"/>
        <w:gridCol w:w="2214"/>
        <w:gridCol w:w="2646"/>
      </w:tblGrid>
      <w:tr w:rsidR="005A4ABD" w:rsidRPr="006679EA" w:rsidTr="005A4ABD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B7EBD" w:rsidRPr="006679EA" w:rsidTr="005A4ABD">
        <w:trPr>
          <w:cantSplit/>
        </w:trPr>
        <w:tc>
          <w:tcPr>
            <w:tcW w:w="4878" w:type="dxa"/>
            <w:vAlign w:val="center"/>
          </w:tcPr>
          <w:p w:rsidR="005B7EBD" w:rsidRPr="006679EA" w:rsidRDefault="005B7EBD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8.4.1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providers aware of which preventative care services are covered under Medicare?</w:t>
            </w:r>
          </w:p>
        </w:tc>
        <w:tc>
          <w:tcPr>
            <w:tcW w:w="2214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B7EBD" w:rsidRPr="006679EA" w:rsidTr="005A4ABD">
        <w:trPr>
          <w:cantSplit/>
        </w:trPr>
        <w:tc>
          <w:tcPr>
            <w:tcW w:w="4878" w:type="dxa"/>
            <w:vAlign w:val="center"/>
          </w:tcPr>
          <w:p w:rsidR="005B7EBD" w:rsidRPr="006679EA" w:rsidRDefault="005B7EBD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8.4.2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providers familiar with the national coverage determination process?</w:t>
            </w:r>
          </w:p>
        </w:tc>
        <w:tc>
          <w:tcPr>
            <w:tcW w:w="2214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B7EBD" w:rsidRPr="006679EA" w:rsidTr="005A4ABD">
        <w:trPr>
          <w:cantSplit/>
        </w:trPr>
        <w:tc>
          <w:tcPr>
            <w:tcW w:w="4878" w:type="dxa"/>
            <w:vAlign w:val="center"/>
          </w:tcPr>
          <w:p w:rsidR="005B7EBD" w:rsidRPr="006679EA" w:rsidRDefault="005B7EBD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8.4.3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Are providers familiar with the U.S. Preventative Services Task Force (USPSTF)?</w:t>
            </w:r>
          </w:p>
        </w:tc>
        <w:tc>
          <w:tcPr>
            <w:tcW w:w="2214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B7EBD" w:rsidRPr="006679EA" w:rsidTr="005A4ABD">
        <w:trPr>
          <w:cantSplit/>
        </w:trPr>
        <w:tc>
          <w:tcPr>
            <w:tcW w:w="4878" w:type="dxa"/>
            <w:vAlign w:val="center"/>
          </w:tcPr>
          <w:p w:rsidR="005B7EBD" w:rsidRPr="006679EA" w:rsidRDefault="005B7EBD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8.4.4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providers recommend annual physical or wellness exams?</w:t>
            </w:r>
          </w:p>
        </w:tc>
        <w:tc>
          <w:tcPr>
            <w:tcW w:w="2214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B7EBD" w:rsidRPr="006679EA" w:rsidTr="005A4ABD">
        <w:trPr>
          <w:cantSplit/>
        </w:trPr>
        <w:tc>
          <w:tcPr>
            <w:tcW w:w="4878" w:type="dxa"/>
            <w:vAlign w:val="center"/>
          </w:tcPr>
          <w:p w:rsidR="005B7EBD" w:rsidRPr="006679EA" w:rsidRDefault="005B7EBD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8.4.5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providers prescribe preventative OTC medications?</w:t>
            </w:r>
          </w:p>
        </w:tc>
        <w:tc>
          <w:tcPr>
            <w:tcW w:w="2214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B7EBD" w:rsidRPr="006679EA" w:rsidTr="005A4ABD">
        <w:trPr>
          <w:cantSplit/>
        </w:trPr>
        <w:tc>
          <w:tcPr>
            <w:tcW w:w="4878" w:type="dxa"/>
            <w:vAlign w:val="center"/>
          </w:tcPr>
          <w:p w:rsidR="005B7EBD" w:rsidRPr="006679EA" w:rsidRDefault="005B7EBD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8.4.6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providers monitor immunization records?</w:t>
            </w:r>
          </w:p>
        </w:tc>
        <w:tc>
          <w:tcPr>
            <w:tcW w:w="2214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B7EBD" w:rsidRPr="006679EA" w:rsidRDefault="005B7EBD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85085F" w:rsidRPr="00E248F9" w:rsidRDefault="0085085F" w:rsidP="0085085F">
      <w:pPr>
        <w:keepNext/>
        <w:spacing w:after="120" w:line="240" w:lineRule="auto"/>
        <w:ind w:left="1440" w:hanging="720"/>
        <w:outlineLvl w:val="1"/>
        <w:rPr>
          <w:rFonts w:ascii="Book Antiqua" w:eastAsia="MS ????" w:hAnsi="Book Antiqua" w:cs="Cambria"/>
          <w:b/>
          <w:bCs/>
          <w:color w:val="31849B"/>
          <w:spacing w:val="-2"/>
          <w:sz w:val="28"/>
          <w:szCs w:val="26"/>
        </w:rPr>
      </w:pPr>
    </w:p>
    <w:p w:rsidR="00AD71FB" w:rsidRDefault="00AD71FB" w:rsidP="00154811">
      <w:pPr>
        <w:spacing w:after="120" w:line="240" w:lineRule="auto"/>
        <w:rPr>
          <w:rFonts w:ascii="Book Antiqua" w:hAnsi="Book Antiqua"/>
        </w:rPr>
      </w:pPr>
    </w:p>
    <w:sectPr w:rsidR="00AD71FB" w:rsidSect="00E7214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E" w:rsidRDefault="00D030DE" w:rsidP="001F2ED3">
      <w:pPr>
        <w:spacing w:after="0" w:line="240" w:lineRule="auto"/>
      </w:pPr>
      <w:r>
        <w:separator/>
      </w:r>
    </w:p>
  </w:endnote>
  <w:end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E" w:rsidRDefault="00D030DE">
    <w:pPr>
      <w:pStyle w:val="Footer"/>
      <w:jc w:val="right"/>
    </w:pPr>
  </w:p>
  <w:p w:rsidR="00D030DE" w:rsidRDefault="00D0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4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0DE" w:rsidRDefault="00D030DE" w:rsidP="002E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E" w:rsidRDefault="00D030DE" w:rsidP="001F2ED3">
      <w:pPr>
        <w:spacing w:after="0" w:line="240" w:lineRule="auto"/>
      </w:pPr>
      <w:r>
        <w:separator/>
      </w:r>
    </w:p>
  </w:footnote>
  <w:foot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CAF"/>
    <w:multiLevelType w:val="hybridMultilevel"/>
    <w:tmpl w:val="4E244D54"/>
    <w:lvl w:ilvl="0" w:tplc="EE9A2BDA">
      <w:start w:val="1"/>
      <w:numFmt w:val="bullet"/>
      <w:pStyle w:val="Bullet1"/>
      <w:lvlText w:val=""/>
      <w:lvlJc w:val="left"/>
      <w:pPr>
        <w:ind w:left="342" w:hanging="360"/>
      </w:pPr>
      <w:rPr>
        <w:rFonts w:ascii="Wingdings 2" w:hAnsi="Wingdings 2"/>
        <w:b w:val="0"/>
        <w:i w:val="0"/>
        <w:caps w:val="0"/>
        <w:strike w:val="0"/>
        <w:dstrike w:val="0"/>
        <w:vanish w:val="0"/>
        <w:color w:val="31849B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E42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7065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46C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68E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0E5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856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5CED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DE1C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3"/>
    <w:rsid w:val="000008F5"/>
    <w:rsid w:val="00000BF2"/>
    <w:rsid w:val="00003477"/>
    <w:rsid w:val="000106DE"/>
    <w:rsid w:val="00011511"/>
    <w:rsid w:val="00011F0F"/>
    <w:rsid w:val="00025201"/>
    <w:rsid w:val="00027FEC"/>
    <w:rsid w:val="000363B4"/>
    <w:rsid w:val="00051529"/>
    <w:rsid w:val="00067AB6"/>
    <w:rsid w:val="00070122"/>
    <w:rsid w:val="00073ED3"/>
    <w:rsid w:val="000757B1"/>
    <w:rsid w:val="00076598"/>
    <w:rsid w:val="00082C69"/>
    <w:rsid w:val="00093BCF"/>
    <w:rsid w:val="00094438"/>
    <w:rsid w:val="000A17D0"/>
    <w:rsid w:val="000A6F42"/>
    <w:rsid w:val="000B1616"/>
    <w:rsid w:val="000B18D9"/>
    <w:rsid w:val="000B36AB"/>
    <w:rsid w:val="000C2A46"/>
    <w:rsid w:val="000C715D"/>
    <w:rsid w:val="000D0B3D"/>
    <w:rsid w:val="000D324C"/>
    <w:rsid w:val="000D3F30"/>
    <w:rsid w:val="000D62F3"/>
    <w:rsid w:val="000D6A91"/>
    <w:rsid w:val="000D7855"/>
    <w:rsid w:val="000E21DB"/>
    <w:rsid w:val="000E43A7"/>
    <w:rsid w:val="000E4A37"/>
    <w:rsid w:val="000F2CF8"/>
    <w:rsid w:val="000F3EDC"/>
    <w:rsid w:val="00105F12"/>
    <w:rsid w:val="00114EEF"/>
    <w:rsid w:val="00115255"/>
    <w:rsid w:val="001234B7"/>
    <w:rsid w:val="001245EC"/>
    <w:rsid w:val="001252F2"/>
    <w:rsid w:val="0012590F"/>
    <w:rsid w:val="00127DE5"/>
    <w:rsid w:val="00135D3A"/>
    <w:rsid w:val="001467E1"/>
    <w:rsid w:val="00150870"/>
    <w:rsid w:val="00151F44"/>
    <w:rsid w:val="001523B5"/>
    <w:rsid w:val="00154811"/>
    <w:rsid w:val="00156B09"/>
    <w:rsid w:val="00167069"/>
    <w:rsid w:val="001746B2"/>
    <w:rsid w:val="0017704A"/>
    <w:rsid w:val="00181FAA"/>
    <w:rsid w:val="00186591"/>
    <w:rsid w:val="00195351"/>
    <w:rsid w:val="001960CC"/>
    <w:rsid w:val="001A3911"/>
    <w:rsid w:val="001B12AF"/>
    <w:rsid w:val="001B22B8"/>
    <w:rsid w:val="001C0277"/>
    <w:rsid w:val="001C45AA"/>
    <w:rsid w:val="001D3EB8"/>
    <w:rsid w:val="001D784B"/>
    <w:rsid w:val="001E1D6E"/>
    <w:rsid w:val="001E259D"/>
    <w:rsid w:val="001E368C"/>
    <w:rsid w:val="001F1710"/>
    <w:rsid w:val="001F2ED3"/>
    <w:rsid w:val="001F3775"/>
    <w:rsid w:val="001F4E2E"/>
    <w:rsid w:val="00202F89"/>
    <w:rsid w:val="00206170"/>
    <w:rsid w:val="00210960"/>
    <w:rsid w:val="002128F5"/>
    <w:rsid w:val="00215E38"/>
    <w:rsid w:val="00216E29"/>
    <w:rsid w:val="00220E5C"/>
    <w:rsid w:val="002237C9"/>
    <w:rsid w:val="002342FF"/>
    <w:rsid w:val="002366C6"/>
    <w:rsid w:val="0024055A"/>
    <w:rsid w:val="0024071E"/>
    <w:rsid w:val="00241E7E"/>
    <w:rsid w:val="002440B5"/>
    <w:rsid w:val="002529C3"/>
    <w:rsid w:val="00260F6C"/>
    <w:rsid w:val="00273733"/>
    <w:rsid w:val="00277B84"/>
    <w:rsid w:val="002822FE"/>
    <w:rsid w:val="0028641F"/>
    <w:rsid w:val="00286F10"/>
    <w:rsid w:val="002A4F2E"/>
    <w:rsid w:val="002A7E07"/>
    <w:rsid w:val="002D5570"/>
    <w:rsid w:val="002D61D2"/>
    <w:rsid w:val="002D6A7C"/>
    <w:rsid w:val="002E0432"/>
    <w:rsid w:val="002E0CAE"/>
    <w:rsid w:val="002F21E0"/>
    <w:rsid w:val="002F5E43"/>
    <w:rsid w:val="002F6B88"/>
    <w:rsid w:val="002F7077"/>
    <w:rsid w:val="00300B2A"/>
    <w:rsid w:val="00307652"/>
    <w:rsid w:val="00312EEB"/>
    <w:rsid w:val="0032173C"/>
    <w:rsid w:val="00324CC3"/>
    <w:rsid w:val="003266F1"/>
    <w:rsid w:val="00330B9E"/>
    <w:rsid w:val="00332DE8"/>
    <w:rsid w:val="00342ACE"/>
    <w:rsid w:val="003431AE"/>
    <w:rsid w:val="00351432"/>
    <w:rsid w:val="00352899"/>
    <w:rsid w:val="00360CBB"/>
    <w:rsid w:val="00361452"/>
    <w:rsid w:val="0037194A"/>
    <w:rsid w:val="00396F5E"/>
    <w:rsid w:val="003A1BD9"/>
    <w:rsid w:val="003A2EE9"/>
    <w:rsid w:val="003A67C8"/>
    <w:rsid w:val="003B3CC1"/>
    <w:rsid w:val="003C3259"/>
    <w:rsid w:val="003C61A2"/>
    <w:rsid w:val="003D33FE"/>
    <w:rsid w:val="003D43B2"/>
    <w:rsid w:val="003E1625"/>
    <w:rsid w:val="003E286D"/>
    <w:rsid w:val="003E39C4"/>
    <w:rsid w:val="0040090B"/>
    <w:rsid w:val="00402AB7"/>
    <w:rsid w:val="00406C27"/>
    <w:rsid w:val="004108ED"/>
    <w:rsid w:val="004121E6"/>
    <w:rsid w:val="004220E9"/>
    <w:rsid w:val="00427513"/>
    <w:rsid w:val="0044262A"/>
    <w:rsid w:val="0045147B"/>
    <w:rsid w:val="004520DD"/>
    <w:rsid w:val="00455407"/>
    <w:rsid w:val="00462A92"/>
    <w:rsid w:val="00462D05"/>
    <w:rsid w:val="00474402"/>
    <w:rsid w:val="00475E0B"/>
    <w:rsid w:val="0047743B"/>
    <w:rsid w:val="00481876"/>
    <w:rsid w:val="00497230"/>
    <w:rsid w:val="0049785F"/>
    <w:rsid w:val="004A2F01"/>
    <w:rsid w:val="004A4984"/>
    <w:rsid w:val="004C0652"/>
    <w:rsid w:val="004D1222"/>
    <w:rsid w:val="004D5002"/>
    <w:rsid w:val="004D500A"/>
    <w:rsid w:val="004D7FF3"/>
    <w:rsid w:val="004E4FC2"/>
    <w:rsid w:val="004E5074"/>
    <w:rsid w:val="00502DD8"/>
    <w:rsid w:val="0050450F"/>
    <w:rsid w:val="00504E5A"/>
    <w:rsid w:val="00506CF2"/>
    <w:rsid w:val="005204EB"/>
    <w:rsid w:val="00527F1D"/>
    <w:rsid w:val="00534AC2"/>
    <w:rsid w:val="00537EDA"/>
    <w:rsid w:val="00540548"/>
    <w:rsid w:val="005425DF"/>
    <w:rsid w:val="00553C18"/>
    <w:rsid w:val="005574A8"/>
    <w:rsid w:val="00567893"/>
    <w:rsid w:val="005766F0"/>
    <w:rsid w:val="005907D8"/>
    <w:rsid w:val="00590F87"/>
    <w:rsid w:val="00593539"/>
    <w:rsid w:val="0059483C"/>
    <w:rsid w:val="005A0971"/>
    <w:rsid w:val="005A2320"/>
    <w:rsid w:val="005A2886"/>
    <w:rsid w:val="005A4ABD"/>
    <w:rsid w:val="005B6EA1"/>
    <w:rsid w:val="005B7EBD"/>
    <w:rsid w:val="005C0DDC"/>
    <w:rsid w:val="005C2A73"/>
    <w:rsid w:val="005C479A"/>
    <w:rsid w:val="005C576D"/>
    <w:rsid w:val="005D229C"/>
    <w:rsid w:val="005D6AF6"/>
    <w:rsid w:val="005E6BD9"/>
    <w:rsid w:val="00604E51"/>
    <w:rsid w:val="00606AB5"/>
    <w:rsid w:val="00606DD1"/>
    <w:rsid w:val="00624252"/>
    <w:rsid w:val="006271C9"/>
    <w:rsid w:val="006279F9"/>
    <w:rsid w:val="0063007C"/>
    <w:rsid w:val="0063313C"/>
    <w:rsid w:val="006348DA"/>
    <w:rsid w:val="00634937"/>
    <w:rsid w:val="00635B41"/>
    <w:rsid w:val="0064120B"/>
    <w:rsid w:val="0064557E"/>
    <w:rsid w:val="00655415"/>
    <w:rsid w:val="006557F0"/>
    <w:rsid w:val="00655815"/>
    <w:rsid w:val="00657EF8"/>
    <w:rsid w:val="00665426"/>
    <w:rsid w:val="006679EA"/>
    <w:rsid w:val="00671219"/>
    <w:rsid w:val="00682C8A"/>
    <w:rsid w:val="00685F3D"/>
    <w:rsid w:val="00696162"/>
    <w:rsid w:val="006A1F9D"/>
    <w:rsid w:val="006C1620"/>
    <w:rsid w:val="006C4598"/>
    <w:rsid w:val="006C65D8"/>
    <w:rsid w:val="006C769B"/>
    <w:rsid w:val="006D1CD0"/>
    <w:rsid w:val="006D28C1"/>
    <w:rsid w:val="006E1EFE"/>
    <w:rsid w:val="006E5A30"/>
    <w:rsid w:val="006F1B05"/>
    <w:rsid w:val="006F5851"/>
    <w:rsid w:val="006F5FD4"/>
    <w:rsid w:val="006F733E"/>
    <w:rsid w:val="00704043"/>
    <w:rsid w:val="0070458C"/>
    <w:rsid w:val="0070640D"/>
    <w:rsid w:val="00714B2D"/>
    <w:rsid w:val="00714F51"/>
    <w:rsid w:val="00721184"/>
    <w:rsid w:val="00726B1A"/>
    <w:rsid w:val="00727E1C"/>
    <w:rsid w:val="00727FD1"/>
    <w:rsid w:val="007305B9"/>
    <w:rsid w:val="007326DD"/>
    <w:rsid w:val="007362B2"/>
    <w:rsid w:val="00736811"/>
    <w:rsid w:val="00747E4E"/>
    <w:rsid w:val="007504E0"/>
    <w:rsid w:val="00756AFB"/>
    <w:rsid w:val="00756D29"/>
    <w:rsid w:val="00757E63"/>
    <w:rsid w:val="00764CB8"/>
    <w:rsid w:val="00774385"/>
    <w:rsid w:val="007747F7"/>
    <w:rsid w:val="00786CA0"/>
    <w:rsid w:val="00787E72"/>
    <w:rsid w:val="00794BF8"/>
    <w:rsid w:val="007A6E63"/>
    <w:rsid w:val="007C4203"/>
    <w:rsid w:val="007C59BB"/>
    <w:rsid w:val="007D1D5C"/>
    <w:rsid w:val="007D51CB"/>
    <w:rsid w:val="007F4FF3"/>
    <w:rsid w:val="007F5450"/>
    <w:rsid w:val="007F617B"/>
    <w:rsid w:val="007F6EAC"/>
    <w:rsid w:val="00802154"/>
    <w:rsid w:val="00802737"/>
    <w:rsid w:val="00804B85"/>
    <w:rsid w:val="00806428"/>
    <w:rsid w:val="00816A9B"/>
    <w:rsid w:val="00816C93"/>
    <w:rsid w:val="0082362A"/>
    <w:rsid w:val="008266E0"/>
    <w:rsid w:val="008365DF"/>
    <w:rsid w:val="00836F59"/>
    <w:rsid w:val="008419F1"/>
    <w:rsid w:val="008421BC"/>
    <w:rsid w:val="0084461B"/>
    <w:rsid w:val="0085085F"/>
    <w:rsid w:val="00855C1A"/>
    <w:rsid w:val="0086066B"/>
    <w:rsid w:val="008711BA"/>
    <w:rsid w:val="00874E3E"/>
    <w:rsid w:val="00875259"/>
    <w:rsid w:val="00881B95"/>
    <w:rsid w:val="0088521F"/>
    <w:rsid w:val="0088782D"/>
    <w:rsid w:val="00891A2E"/>
    <w:rsid w:val="00891D92"/>
    <w:rsid w:val="008975C9"/>
    <w:rsid w:val="00897D55"/>
    <w:rsid w:val="008A1C36"/>
    <w:rsid w:val="008A71CF"/>
    <w:rsid w:val="008C076D"/>
    <w:rsid w:val="008C2EEA"/>
    <w:rsid w:val="008C6D26"/>
    <w:rsid w:val="008C7548"/>
    <w:rsid w:val="008D66EE"/>
    <w:rsid w:val="008E14ED"/>
    <w:rsid w:val="008F27D3"/>
    <w:rsid w:val="008F47B8"/>
    <w:rsid w:val="008F7769"/>
    <w:rsid w:val="009006AC"/>
    <w:rsid w:val="00910626"/>
    <w:rsid w:val="00910C4F"/>
    <w:rsid w:val="009130BA"/>
    <w:rsid w:val="009156BA"/>
    <w:rsid w:val="0091605C"/>
    <w:rsid w:val="00916E78"/>
    <w:rsid w:val="00917350"/>
    <w:rsid w:val="00921131"/>
    <w:rsid w:val="00921BC7"/>
    <w:rsid w:val="00931D85"/>
    <w:rsid w:val="009330E9"/>
    <w:rsid w:val="00934A05"/>
    <w:rsid w:val="009451D9"/>
    <w:rsid w:val="00955A14"/>
    <w:rsid w:val="00964518"/>
    <w:rsid w:val="00967623"/>
    <w:rsid w:val="00972C12"/>
    <w:rsid w:val="00975CFC"/>
    <w:rsid w:val="00985B84"/>
    <w:rsid w:val="00994CB6"/>
    <w:rsid w:val="00996998"/>
    <w:rsid w:val="00997D81"/>
    <w:rsid w:val="009A3116"/>
    <w:rsid w:val="009A4E58"/>
    <w:rsid w:val="009A4E92"/>
    <w:rsid w:val="009C56FB"/>
    <w:rsid w:val="009E105A"/>
    <w:rsid w:val="009E2027"/>
    <w:rsid w:val="009E23D1"/>
    <w:rsid w:val="009F71F6"/>
    <w:rsid w:val="00A076F3"/>
    <w:rsid w:val="00A079E5"/>
    <w:rsid w:val="00A07D1C"/>
    <w:rsid w:val="00A133E6"/>
    <w:rsid w:val="00A13A52"/>
    <w:rsid w:val="00A16177"/>
    <w:rsid w:val="00A16D0E"/>
    <w:rsid w:val="00A20554"/>
    <w:rsid w:val="00A3040A"/>
    <w:rsid w:val="00A30417"/>
    <w:rsid w:val="00A317E3"/>
    <w:rsid w:val="00A3354B"/>
    <w:rsid w:val="00A34DAC"/>
    <w:rsid w:val="00A34E63"/>
    <w:rsid w:val="00A36222"/>
    <w:rsid w:val="00A37114"/>
    <w:rsid w:val="00A41BBC"/>
    <w:rsid w:val="00A42D81"/>
    <w:rsid w:val="00A45F95"/>
    <w:rsid w:val="00A549A5"/>
    <w:rsid w:val="00A57626"/>
    <w:rsid w:val="00A60922"/>
    <w:rsid w:val="00A648B7"/>
    <w:rsid w:val="00A655EB"/>
    <w:rsid w:val="00A655F7"/>
    <w:rsid w:val="00A66712"/>
    <w:rsid w:val="00A66CB8"/>
    <w:rsid w:val="00A7177A"/>
    <w:rsid w:val="00A71B91"/>
    <w:rsid w:val="00A71D70"/>
    <w:rsid w:val="00A72812"/>
    <w:rsid w:val="00A814B0"/>
    <w:rsid w:val="00A828B2"/>
    <w:rsid w:val="00A9366C"/>
    <w:rsid w:val="00AA543C"/>
    <w:rsid w:val="00AA550D"/>
    <w:rsid w:val="00AB5D20"/>
    <w:rsid w:val="00AB6756"/>
    <w:rsid w:val="00AC6120"/>
    <w:rsid w:val="00AC7341"/>
    <w:rsid w:val="00AD71FB"/>
    <w:rsid w:val="00AF2FF3"/>
    <w:rsid w:val="00B0417D"/>
    <w:rsid w:val="00B12771"/>
    <w:rsid w:val="00B14646"/>
    <w:rsid w:val="00B22507"/>
    <w:rsid w:val="00B244FA"/>
    <w:rsid w:val="00B24FF4"/>
    <w:rsid w:val="00B25545"/>
    <w:rsid w:val="00B262E3"/>
    <w:rsid w:val="00B26BC4"/>
    <w:rsid w:val="00B335B4"/>
    <w:rsid w:val="00B34812"/>
    <w:rsid w:val="00B37170"/>
    <w:rsid w:val="00B40D25"/>
    <w:rsid w:val="00B43FD2"/>
    <w:rsid w:val="00B507D4"/>
    <w:rsid w:val="00B51880"/>
    <w:rsid w:val="00B51ECB"/>
    <w:rsid w:val="00B545CB"/>
    <w:rsid w:val="00B56781"/>
    <w:rsid w:val="00B62660"/>
    <w:rsid w:val="00B67717"/>
    <w:rsid w:val="00B72171"/>
    <w:rsid w:val="00B7383A"/>
    <w:rsid w:val="00B7493D"/>
    <w:rsid w:val="00B75C73"/>
    <w:rsid w:val="00B76AC4"/>
    <w:rsid w:val="00B8580F"/>
    <w:rsid w:val="00B903C5"/>
    <w:rsid w:val="00B90C08"/>
    <w:rsid w:val="00B92193"/>
    <w:rsid w:val="00B93D48"/>
    <w:rsid w:val="00B946FB"/>
    <w:rsid w:val="00B974E0"/>
    <w:rsid w:val="00BA70B0"/>
    <w:rsid w:val="00BB32ED"/>
    <w:rsid w:val="00BB5960"/>
    <w:rsid w:val="00BB6416"/>
    <w:rsid w:val="00BC1C4E"/>
    <w:rsid w:val="00BC1D13"/>
    <w:rsid w:val="00BC2F77"/>
    <w:rsid w:val="00BC46C6"/>
    <w:rsid w:val="00BC6A9F"/>
    <w:rsid w:val="00BC7275"/>
    <w:rsid w:val="00BD0EEF"/>
    <w:rsid w:val="00BD419F"/>
    <w:rsid w:val="00BE03EC"/>
    <w:rsid w:val="00BE3DDF"/>
    <w:rsid w:val="00BF0A1A"/>
    <w:rsid w:val="00BF1A09"/>
    <w:rsid w:val="00BF1B89"/>
    <w:rsid w:val="00BF4D94"/>
    <w:rsid w:val="00BF51D6"/>
    <w:rsid w:val="00BF5B8D"/>
    <w:rsid w:val="00BF759B"/>
    <w:rsid w:val="00C058DB"/>
    <w:rsid w:val="00C0740D"/>
    <w:rsid w:val="00C10E31"/>
    <w:rsid w:val="00C11F1B"/>
    <w:rsid w:val="00C16FAD"/>
    <w:rsid w:val="00C22C07"/>
    <w:rsid w:val="00C277A5"/>
    <w:rsid w:val="00C34D90"/>
    <w:rsid w:val="00C404FF"/>
    <w:rsid w:val="00C419E2"/>
    <w:rsid w:val="00C47693"/>
    <w:rsid w:val="00C50355"/>
    <w:rsid w:val="00C5584B"/>
    <w:rsid w:val="00C57C78"/>
    <w:rsid w:val="00C63664"/>
    <w:rsid w:val="00C66E9A"/>
    <w:rsid w:val="00CB2934"/>
    <w:rsid w:val="00CB7890"/>
    <w:rsid w:val="00CC5C64"/>
    <w:rsid w:val="00CF14B4"/>
    <w:rsid w:val="00CF40BB"/>
    <w:rsid w:val="00D00C70"/>
    <w:rsid w:val="00D029A3"/>
    <w:rsid w:val="00D030DE"/>
    <w:rsid w:val="00D04A0B"/>
    <w:rsid w:val="00D10FBC"/>
    <w:rsid w:val="00D12DBD"/>
    <w:rsid w:val="00D2529D"/>
    <w:rsid w:val="00D276B1"/>
    <w:rsid w:val="00D42C48"/>
    <w:rsid w:val="00D43D09"/>
    <w:rsid w:val="00D506DF"/>
    <w:rsid w:val="00D53F33"/>
    <w:rsid w:val="00D54497"/>
    <w:rsid w:val="00D55271"/>
    <w:rsid w:val="00D573C5"/>
    <w:rsid w:val="00D57C95"/>
    <w:rsid w:val="00D65EDA"/>
    <w:rsid w:val="00D7512B"/>
    <w:rsid w:val="00D75D23"/>
    <w:rsid w:val="00D76E1E"/>
    <w:rsid w:val="00D777D2"/>
    <w:rsid w:val="00D77B33"/>
    <w:rsid w:val="00D81696"/>
    <w:rsid w:val="00D84604"/>
    <w:rsid w:val="00D86806"/>
    <w:rsid w:val="00D86AB2"/>
    <w:rsid w:val="00D909E1"/>
    <w:rsid w:val="00D95198"/>
    <w:rsid w:val="00D95E00"/>
    <w:rsid w:val="00D96170"/>
    <w:rsid w:val="00D977B2"/>
    <w:rsid w:val="00DA4CBB"/>
    <w:rsid w:val="00DC098A"/>
    <w:rsid w:val="00DC1F48"/>
    <w:rsid w:val="00DC3D46"/>
    <w:rsid w:val="00DC4C57"/>
    <w:rsid w:val="00DD2898"/>
    <w:rsid w:val="00DE1C1F"/>
    <w:rsid w:val="00DE1E17"/>
    <w:rsid w:val="00DE2A7F"/>
    <w:rsid w:val="00DE4DB4"/>
    <w:rsid w:val="00DF283D"/>
    <w:rsid w:val="00E13ED3"/>
    <w:rsid w:val="00E218E7"/>
    <w:rsid w:val="00E248F9"/>
    <w:rsid w:val="00E2761A"/>
    <w:rsid w:val="00E331D8"/>
    <w:rsid w:val="00E357BE"/>
    <w:rsid w:val="00E36313"/>
    <w:rsid w:val="00E36699"/>
    <w:rsid w:val="00E36D1D"/>
    <w:rsid w:val="00E46F58"/>
    <w:rsid w:val="00E5172E"/>
    <w:rsid w:val="00E51ADF"/>
    <w:rsid w:val="00E538D2"/>
    <w:rsid w:val="00E53AEE"/>
    <w:rsid w:val="00E5420A"/>
    <w:rsid w:val="00E5584A"/>
    <w:rsid w:val="00E57C29"/>
    <w:rsid w:val="00E62041"/>
    <w:rsid w:val="00E707D8"/>
    <w:rsid w:val="00E72147"/>
    <w:rsid w:val="00E72668"/>
    <w:rsid w:val="00E7269E"/>
    <w:rsid w:val="00E72E57"/>
    <w:rsid w:val="00E757CB"/>
    <w:rsid w:val="00E7653C"/>
    <w:rsid w:val="00E77640"/>
    <w:rsid w:val="00E825AA"/>
    <w:rsid w:val="00E876A9"/>
    <w:rsid w:val="00EA45E0"/>
    <w:rsid w:val="00EA6569"/>
    <w:rsid w:val="00EB5C62"/>
    <w:rsid w:val="00EB73B6"/>
    <w:rsid w:val="00EC073F"/>
    <w:rsid w:val="00EC3C63"/>
    <w:rsid w:val="00EC4D2D"/>
    <w:rsid w:val="00EC6945"/>
    <w:rsid w:val="00EC6A2C"/>
    <w:rsid w:val="00EC779C"/>
    <w:rsid w:val="00ED0F8D"/>
    <w:rsid w:val="00EE5343"/>
    <w:rsid w:val="00EF0A2F"/>
    <w:rsid w:val="00EF5127"/>
    <w:rsid w:val="00EF67F8"/>
    <w:rsid w:val="00F027B2"/>
    <w:rsid w:val="00F16D77"/>
    <w:rsid w:val="00F21B8B"/>
    <w:rsid w:val="00F22669"/>
    <w:rsid w:val="00F24B67"/>
    <w:rsid w:val="00F266BD"/>
    <w:rsid w:val="00F26C5A"/>
    <w:rsid w:val="00F32601"/>
    <w:rsid w:val="00F3276E"/>
    <w:rsid w:val="00F32A05"/>
    <w:rsid w:val="00F3375E"/>
    <w:rsid w:val="00F366CE"/>
    <w:rsid w:val="00F37020"/>
    <w:rsid w:val="00F43638"/>
    <w:rsid w:val="00F46D53"/>
    <w:rsid w:val="00F50CFA"/>
    <w:rsid w:val="00F5342E"/>
    <w:rsid w:val="00F57056"/>
    <w:rsid w:val="00F63881"/>
    <w:rsid w:val="00F761F3"/>
    <w:rsid w:val="00F83D1B"/>
    <w:rsid w:val="00F84146"/>
    <w:rsid w:val="00F84CE0"/>
    <w:rsid w:val="00FA0CE6"/>
    <w:rsid w:val="00FA7240"/>
    <w:rsid w:val="00FB1974"/>
    <w:rsid w:val="00FB520B"/>
    <w:rsid w:val="00FB5875"/>
    <w:rsid w:val="00FC67A5"/>
    <w:rsid w:val="00FD4EC4"/>
    <w:rsid w:val="00FE310B"/>
    <w:rsid w:val="00FE67FB"/>
    <w:rsid w:val="00FF08D4"/>
    <w:rsid w:val="00FF4C7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CEFB-658A-4639-A1F6-EFCD2BD0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Care_for_Geriatric_Consumers_and_Service_Capacity:A_Self-Assessment_Tool</vt:lpstr>
    </vt:vector>
  </TitlesOfParts>
  <Company>The Lewin Group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Care_for_Geriatric_Consumers_and_Service_Capacity:A_Self-Assessment_Tool</dc:title>
  <dc:subject>Geriatric Competent Care</dc:subject>
  <dc:creator>The Lewin Group</dc:creator>
  <cp:keywords>Geriatric Self-Assessment Tool</cp:keywords>
  <cp:lastModifiedBy>Jessie Micholuk</cp:lastModifiedBy>
  <cp:revision>3</cp:revision>
  <cp:lastPrinted>2016-03-14T17:38:00Z</cp:lastPrinted>
  <dcterms:created xsi:type="dcterms:W3CDTF">2016-04-07T14:39:00Z</dcterms:created>
  <dcterms:modified xsi:type="dcterms:W3CDTF">2016-05-09T19:30:00Z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