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Default="00955BCD" w:rsidP="00E72147">
      <w:pPr>
        <w:spacing w:after="120" w:line="240" w:lineRule="auto"/>
        <w:jc w:val="center"/>
        <w:rPr>
          <w:rFonts w:ascii="Book Antiqua" w:eastAsia="MS ??" w:hAnsi="Book Antiqua" w:cs="Calibri"/>
          <w:b/>
          <w:smallCaps/>
          <w:color w:val="5F497A"/>
          <w:spacing w:val="-2"/>
          <w:sz w:val="72"/>
          <w:szCs w:val="56"/>
        </w:rPr>
      </w:pPr>
      <w:r>
        <w:rPr>
          <w:rFonts w:ascii="Book Antiqua" w:eastAsia="MS ??" w:hAnsi="Book Antiqua" w:cs="Calibri"/>
          <w:b/>
          <w:smallCaps/>
          <w:color w:val="5F497A"/>
          <w:spacing w:val="-2"/>
          <w:sz w:val="72"/>
          <w:szCs w:val="56"/>
        </w:rPr>
        <w:t>Geriatric Services Capacity Assessment</w:t>
      </w:r>
    </w:p>
    <w:p w:rsidR="00955BCD" w:rsidRDefault="00955BCD" w:rsidP="00E72147">
      <w:pPr>
        <w:spacing w:after="120" w:line="240" w:lineRule="auto"/>
        <w:jc w:val="center"/>
        <w:rPr>
          <w:rFonts w:ascii="Book Antiqua" w:eastAsia="MS ??" w:hAnsi="Book Antiqua" w:cs="Calibri"/>
          <w:b/>
          <w:smallCaps/>
          <w:color w:val="5F497A"/>
          <w:spacing w:val="-2"/>
          <w:sz w:val="68"/>
          <w:szCs w:val="68"/>
        </w:rPr>
      </w:pPr>
    </w:p>
    <w:p w:rsidR="00B76397" w:rsidRDefault="00B76397" w:rsidP="00E72147">
      <w:pPr>
        <w:spacing w:after="120" w:line="240" w:lineRule="auto"/>
        <w:jc w:val="center"/>
        <w:rPr>
          <w:rFonts w:ascii="Book Antiqua" w:eastAsia="MS ??" w:hAnsi="Book Antiqua" w:cs="Calibri"/>
          <w:b/>
          <w:smallCaps/>
          <w:color w:val="5F497A"/>
          <w:spacing w:val="-2"/>
          <w:sz w:val="68"/>
          <w:szCs w:val="68"/>
        </w:rPr>
      </w:pPr>
      <w:r>
        <w:rPr>
          <w:rFonts w:ascii="Book Antiqua" w:eastAsia="MS ??" w:hAnsi="Book Antiqua" w:cs="Calibri"/>
          <w:b/>
          <w:smallCaps/>
          <w:color w:val="5F497A"/>
          <w:spacing w:val="-2"/>
          <w:sz w:val="68"/>
          <w:szCs w:val="68"/>
        </w:rPr>
        <w:t>Domain 7 – Financial and Legal Issues</w:t>
      </w:r>
    </w:p>
    <w:p w:rsidR="00955BCD" w:rsidRPr="009451D9" w:rsidRDefault="00955BCD" w:rsidP="00E72147">
      <w:pPr>
        <w:spacing w:after="120" w:line="240" w:lineRule="auto"/>
        <w:jc w:val="center"/>
        <w:rPr>
          <w:rFonts w:ascii="Book Antiqua" w:eastAsia="MS ??" w:hAnsi="Book Antiqua" w:cs="Calibri"/>
          <w:b/>
          <w:smallCaps/>
          <w:color w:val="5F497A"/>
          <w:spacing w:val="-2"/>
          <w:sz w:val="68"/>
          <w:szCs w:val="68"/>
        </w:rPr>
      </w:pPr>
      <w:bookmarkStart w:id="0" w:name="_GoBack"/>
      <w:bookmarkEnd w:id="0"/>
    </w:p>
    <w:p w:rsidR="00C66E9A" w:rsidRPr="009451D9" w:rsidRDefault="00C66E9A" w:rsidP="00E72147">
      <w:pPr>
        <w:spacing w:after="120" w:line="240" w:lineRule="auto"/>
        <w:jc w:val="center"/>
        <w:rPr>
          <w:rFonts w:ascii="Book Antiqua" w:eastAsia="MS ??" w:hAnsi="Book Antiqua" w:cs="Calibri"/>
          <w:b/>
          <w:i/>
          <w:smallCaps/>
          <w:color w:val="5F497A"/>
          <w:spacing w:val="-2"/>
          <w:sz w:val="64"/>
          <w:szCs w:val="64"/>
        </w:rPr>
      </w:pPr>
      <w:r w:rsidRPr="009451D9">
        <w:rPr>
          <w:rFonts w:ascii="Book Antiqua" w:eastAsia="MS ??" w:hAnsi="Book Antiqua" w:cs="Calibri"/>
          <w:b/>
          <w:i/>
          <w:smallCaps/>
          <w:color w:val="5F497A"/>
          <w:spacing w:val="-2"/>
          <w:sz w:val="64"/>
          <w:szCs w:val="64"/>
        </w:rPr>
        <w:t>Assessing your Results</w:t>
      </w:r>
    </w:p>
    <w:p w:rsidR="00E72147" w:rsidRDefault="00E72147" w:rsidP="008419F1">
      <w:pPr>
        <w:spacing w:after="120" w:line="240" w:lineRule="auto"/>
        <w:rPr>
          <w:rFonts w:ascii="Book Antiqua" w:eastAsia="MS ??" w:hAnsi="Book Antiqua" w:cs="Calibri"/>
          <w:color w:val="5F497A"/>
          <w:spacing w:val="-2"/>
        </w:rPr>
        <w:sectPr w:rsidR="00E72147" w:rsidSect="00AC6120">
          <w:footerReference w:type="default" r:id="rId9"/>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20"/>
          <w:docGrid w:linePitch="360"/>
        </w:sectPr>
      </w:pPr>
    </w:p>
    <w:p w:rsidR="0085085F" w:rsidRDefault="005A4ABD" w:rsidP="00727E1C">
      <w:pPr>
        <w:pStyle w:val="Heading1"/>
        <w:rPr>
          <w:rFonts w:eastAsia="MS ??"/>
        </w:rPr>
      </w:pPr>
      <w:r>
        <w:rPr>
          <w:rFonts w:eastAsia="MS ??"/>
        </w:rPr>
        <w:lastRenderedPageBreak/>
        <w:t>Domain 7:</w:t>
      </w:r>
      <w:r>
        <w:rPr>
          <w:rFonts w:eastAsia="MS ??"/>
        </w:rPr>
        <w:tab/>
      </w:r>
      <w:r w:rsidR="0085085F" w:rsidRPr="002E0432">
        <w:rPr>
          <w:rFonts w:eastAsia="MS ??"/>
        </w:rPr>
        <w:t>F</w:t>
      </w:r>
      <w:r w:rsidR="000D0B3D" w:rsidRPr="002E0432">
        <w:rPr>
          <w:rFonts w:eastAsia="MS ??"/>
        </w:rPr>
        <w:t xml:space="preserve">inancial and Legal Issues </w:t>
      </w:r>
    </w:p>
    <w:p w:rsidR="005A4ABD" w:rsidRDefault="005A4ABD" w:rsidP="005A4ABD">
      <w:pPr>
        <w:pStyle w:val="Heading2"/>
        <w:spacing w:before="0"/>
        <w:rPr>
          <w:rFonts w:eastAsia="MS ??"/>
        </w:rPr>
      </w:pPr>
      <w:r w:rsidRPr="005A4ABD">
        <w:rPr>
          <w:rFonts w:eastAsia="MS ??"/>
        </w:rPr>
        <w:t xml:space="preserve">7.1 </w:t>
      </w:r>
      <w:r w:rsidRPr="005A4ABD">
        <w:rPr>
          <w:rFonts w:eastAsia="MS ??"/>
        </w:rPr>
        <w:tab/>
        <w:t xml:space="preserve">Financial </w:t>
      </w:r>
      <w:r>
        <w:rPr>
          <w:rFonts w:eastAsia="MS ??"/>
        </w:rPr>
        <w:t>a</w:t>
      </w:r>
      <w:r w:rsidRPr="005A4ABD">
        <w:rPr>
          <w:rFonts w:eastAsia="MS ??"/>
        </w:rPr>
        <w:t>nd Environmental Support</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1 Financial and Environmental Support&#10;"/>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7.1.1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resource points of contact to assist consumers with transportation that is not medically related?</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7.1.2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points of contact for resources to assist geriatric consumers with housing and utilities?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7.1.3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or points of contact to assist consumers with meals or nutritional supplements?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7.1.4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resources to assist older consumers with other services, supports, and incidentals that are generally not covered by Medicare, Medicaid, and other Home and Community Based Services (HCBS)?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spacing w:val="-2"/>
                <w:sz w:val="20"/>
                <w:szCs w:val="20"/>
              </w:rPr>
              <w:t xml:space="preserve">7.1.5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Is the IDT aware of condition-specific resources that may assist older consumers and their caregivers to meet their financial needs?</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rPr>
          <w:rFonts w:eastAsia="MS ??"/>
        </w:rPr>
      </w:pPr>
      <w:r w:rsidRPr="005A4ABD">
        <w:rPr>
          <w:rFonts w:eastAsia="MS ??"/>
        </w:rPr>
        <w:t>7.2</w:t>
      </w:r>
      <w:r w:rsidRPr="005A4ABD">
        <w:rPr>
          <w:rFonts w:eastAsia="MS ??"/>
        </w:rPr>
        <w:tab/>
        <w:t>Legal Issues</w:t>
      </w:r>
    </w:p>
    <w:p w:rsidR="005A4ABD" w:rsidRDefault="005A4ABD" w:rsidP="005A4ABD">
      <w:pPr>
        <w:pStyle w:val="Heading3"/>
        <w:rPr>
          <w:rFonts w:eastAsia="MS ??"/>
        </w:rPr>
      </w:pPr>
      <w:proofErr w:type="gramStart"/>
      <w:r w:rsidRPr="005A4ABD">
        <w:rPr>
          <w:rFonts w:eastAsia="MS ??"/>
        </w:rPr>
        <w:t>7.2.1  Guardianship</w:t>
      </w:r>
      <w:proofErr w:type="gramEnd"/>
      <w:r w:rsidRPr="005A4ABD">
        <w:rPr>
          <w:rFonts w:eastAsia="MS ??"/>
        </w:rPr>
        <w:t xml:space="preserve"> and Incapacity Determination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1 Guardianship and Incapacity Determination"/>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7.2.1.1</w:t>
            </w:r>
            <w:r w:rsidRPr="006679EA">
              <w:rPr>
                <w:rFonts w:ascii="Book Antiqua" w:eastAsia="MS ????" w:hAnsi="Book Antiqua" w:cs="Cambria"/>
                <w:bCs/>
                <w:spacing w:val="-2"/>
                <w:sz w:val="20"/>
                <w:szCs w:val="20"/>
              </w:rPr>
              <w:tab/>
              <w:t>Does the IDT understand the legal process for determining if a consumer is incapacitated and requesting the appointment of a guardian?</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7.2.1.1</w:t>
            </w:r>
            <w:r w:rsidRPr="006679EA">
              <w:rPr>
                <w:rFonts w:ascii="Book Antiqua" w:eastAsia="MS ????" w:hAnsi="Book Antiqua" w:cs="Cambria"/>
                <w:bCs/>
                <w:spacing w:val="-2"/>
                <w:sz w:val="20"/>
                <w:szCs w:val="20"/>
              </w:rPr>
              <w:tab/>
              <w:t>Are there protocols in place to ensure continuity of care for the consumer in the event that a guardian is appointed?</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3"/>
        <w:rPr>
          <w:rFonts w:eastAsia="MS ??"/>
        </w:rPr>
      </w:pPr>
      <w:r w:rsidRPr="005A4ABD">
        <w:rPr>
          <w:rFonts w:eastAsia="MS ??"/>
        </w:rPr>
        <w:lastRenderedPageBreak/>
        <w:t>7.2.2 Ombudsman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2 Ombudsman"/>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7.2.2.1 </w:t>
            </w:r>
            <w:r w:rsidRPr="006679EA">
              <w:rPr>
                <w:rFonts w:ascii="Book Antiqua" w:eastAsia="MS ????" w:hAnsi="Book Antiqua" w:cs="Cambria"/>
                <w:bCs/>
                <w:spacing w:val="-2"/>
                <w:sz w:val="20"/>
                <w:szCs w:val="20"/>
              </w:rPr>
              <w:tab/>
              <w:t>Is the IDT able to help consumers connect with their ombudsman to resolve problems with their payer or long-term care facility?</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3"/>
        <w:rPr>
          <w:rFonts w:eastAsia="MS ??"/>
        </w:rPr>
      </w:pPr>
      <w:r w:rsidRPr="005A4ABD">
        <w:rPr>
          <w:rFonts w:eastAsia="MS ??"/>
        </w:rPr>
        <w:t>7.2.3 Advance Directives</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3 Advance Directives"/>
      </w:tblPr>
      <w:tblGrid>
        <w:gridCol w:w="4878"/>
        <w:gridCol w:w="2214"/>
        <w:gridCol w:w="2646"/>
      </w:tblGrid>
      <w:tr w:rsidR="005A4ABD" w:rsidRPr="006679EA" w:rsidTr="0031672C">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7.2.3.1</w:t>
            </w:r>
            <w:r w:rsidRPr="006679EA">
              <w:rPr>
                <w:rFonts w:ascii="Book Antiqua" w:eastAsia="MS ????" w:hAnsi="Book Antiqua" w:cs="Cambria"/>
                <w:bCs/>
                <w:spacing w:val="-2"/>
                <w:sz w:val="20"/>
                <w:szCs w:val="20"/>
              </w:rPr>
              <w:tab/>
              <w:t>Does IDT staff know whom to contact or refer the older consumer to, for assistance with a living will, durable power of attorney for health care, and/or durable power of attorney for mental health care?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78"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7.2.3.2</w:t>
            </w:r>
            <w:r w:rsidRPr="006679EA">
              <w:rPr>
                <w:rFonts w:ascii="Book Antiqua" w:eastAsia="MS ????" w:hAnsi="Book Antiqua" w:cs="Cambria"/>
                <w:bCs/>
                <w:spacing w:val="-2"/>
                <w:sz w:val="20"/>
                <w:szCs w:val="20"/>
              </w:rPr>
              <w:tab/>
              <w:t>Does the IDT know how to assess the appropriate time to institute a living will, durable power of attorney for health care, or durable power of attorney for mental health care?</w:t>
            </w:r>
          </w:p>
        </w:tc>
        <w:tc>
          <w:tcPr>
            <w:tcW w:w="2214"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646"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Pr="002E0432" w:rsidRDefault="005A4ABD" w:rsidP="005A4ABD">
      <w:pPr>
        <w:pStyle w:val="Heading3"/>
        <w:rPr>
          <w:rFonts w:eastAsia="MS ??"/>
        </w:rPr>
      </w:pPr>
      <w:r w:rsidRPr="005A4ABD">
        <w:rPr>
          <w:rFonts w:eastAsia="MS ??"/>
        </w:rPr>
        <w:t xml:space="preserve">7.2.4. Health Insurance Portability and Accountability Act  </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7:  Financial and Legal Issues, 7.2 Legal Issues, 7.2.4 Health Insurance Portability and Accountablity Act"/>
      </w:tblPr>
      <w:tblGrid>
        <w:gridCol w:w="4878"/>
        <w:gridCol w:w="2214"/>
        <w:gridCol w:w="2646"/>
      </w:tblGrid>
      <w:tr w:rsidR="005A4ABD" w:rsidRPr="006679EA" w:rsidTr="005A4ABD">
        <w:trPr>
          <w:cantSplit/>
          <w:tblHeader/>
        </w:trPr>
        <w:tc>
          <w:tcPr>
            <w:tcW w:w="4878"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214"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646"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85085F" w:rsidRPr="006679EA" w:rsidTr="005A4ABD">
        <w:trPr>
          <w:cantSplit/>
        </w:trPr>
        <w:tc>
          <w:tcPr>
            <w:tcW w:w="4878" w:type="dxa"/>
            <w:vAlign w:val="center"/>
          </w:tcPr>
          <w:p w:rsidR="0085085F" w:rsidRPr="006679EA" w:rsidRDefault="0085085F" w:rsidP="00D777D2">
            <w:pPr>
              <w:keepNext/>
              <w:keepLines/>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7.2.4.1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knowledgeable about HIPAA Title II regulations regarding consumer PHI?</w:t>
            </w:r>
          </w:p>
        </w:tc>
        <w:tc>
          <w:tcPr>
            <w:tcW w:w="2214" w:type="dxa"/>
            <w:vAlign w:val="center"/>
          </w:tcPr>
          <w:p w:rsidR="0085085F" w:rsidRPr="006679EA" w:rsidRDefault="0085085F" w:rsidP="00D777D2">
            <w:pPr>
              <w:keepNext/>
              <w:keepLines/>
              <w:widowControl w:val="0"/>
              <w:rPr>
                <w:rFonts w:ascii="Book Antiqua" w:eastAsia="MS ??" w:hAnsi="Book Antiqua" w:cs="Calibri"/>
                <w:smallCaps/>
                <w:spacing w:val="-2"/>
                <w:sz w:val="20"/>
                <w:szCs w:val="20"/>
              </w:rPr>
            </w:pPr>
          </w:p>
        </w:tc>
        <w:tc>
          <w:tcPr>
            <w:tcW w:w="2646" w:type="dxa"/>
            <w:vAlign w:val="center"/>
          </w:tcPr>
          <w:p w:rsidR="0085085F" w:rsidRPr="006679EA" w:rsidRDefault="0085085F" w:rsidP="00D777D2">
            <w:pPr>
              <w:keepNext/>
              <w:keepLines/>
              <w:widowControl w:val="0"/>
              <w:rPr>
                <w:rFonts w:ascii="Book Antiqua" w:eastAsia="MS ??" w:hAnsi="Book Antiqua" w:cs="Calibri"/>
                <w:smallCaps/>
                <w:spacing w:val="-2"/>
                <w:sz w:val="20"/>
                <w:szCs w:val="20"/>
              </w:rPr>
            </w:pPr>
          </w:p>
        </w:tc>
      </w:tr>
      <w:tr w:rsidR="0085085F" w:rsidRPr="006679EA" w:rsidTr="005A4ABD">
        <w:trPr>
          <w:cantSplit/>
        </w:trPr>
        <w:tc>
          <w:tcPr>
            <w:tcW w:w="4878" w:type="dxa"/>
            <w:vAlign w:val="center"/>
          </w:tcPr>
          <w:p w:rsidR="0085085F" w:rsidRPr="006679EA" w:rsidRDefault="000D0B3D" w:rsidP="00D777D2">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7.2.4.2</w:t>
            </w:r>
            <w:r w:rsidRPr="006679EA">
              <w:rPr>
                <w:rFonts w:ascii="Book Antiqua" w:eastAsia="MS ????" w:hAnsi="Book Antiqua" w:cs="Cambria"/>
                <w:bCs/>
                <w:spacing w:val="-2"/>
                <w:sz w:val="20"/>
                <w:szCs w:val="20"/>
              </w:rPr>
              <w:tab/>
            </w:r>
            <w:r w:rsidR="0085085F" w:rsidRPr="006679EA">
              <w:rPr>
                <w:rFonts w:ascii="Book Antiqua" w:eastAsia="MS ????" w:hAnsi="Book Antiqua" w:cs="Cambria"/>
                <w:bCs/>
                <w:spacing w:val="-2"/>
                <w:sz w:val="20"/>
                <w:szCs w:val="20"/>
              </w:rPr>
              <w:t>Do IDT staff honor and facilitate the release of PHI to the consumer?</w:t>
            </w:r>
          </w:p>
        </w:tc>
        <w:tc>
          <w:tcPr>
            <w:tcW w:w="2214" w:type="dxa"/>
            <w:vAlign w:val="center"/>
          </w:tcPr>
          <w:p w:rsidR="0085085F" w:rsidRPr="006679EA" w:rsidRDefault="0085085F" w:rsidP="006679EA">
            <w:pPr>
              <w:widowControl w:val="0"/>
              <w:rPr>
                <w:rFonts w:ascii="Book Antiqua" w:eastAsia="MS ??" w:hAnsi="Book Antiqua" w:cs="Calibri"/>
                <w:smallCaps/>
                <w:spacing w:val="-2"/>
                <w:sz w:val="20"/>
                <w:szCs w:val="20"/>
              </w:rPr>
            </w:pPr>
          </w:p>
        </w:tc>
        <w:tc>
          <w:tcPr>
            <w:tcW w:w="2646" w:type="dxa"/>
            <w:vAlign w:val="center"/>
          </w:tcPr>
          <w:p w:rsidR="0085085F" w:rsidRPr="006679EA" w:rsidRDefault="0085085F" w:rsidP="006679EA">
            <w:pPr>
              <w:widowControl w:val="0"/>
              <w:rPr>
                <w:rFonts w:ascii="Book Antiqua" w:eastAsia="MS ??" w:hAnsi="Book Antiqua" w:cs="Calibri"/>
                <w:smallCaps/>
                <w:spacing w:val="-2"/>
                <w:sz w:val="20"/>
                <w:szCs w:val="20"/>
              </w:rPr>
            </w:pPr>
          </w:p>
        </w:tc>
      </w:tr>
    </w:tbl>
    <w:p w:rsidR="00B51ECB" w:rsidRDefault="00B51ECB" w:rsidP="00E248F9">
      <w:pPr>
        <w:spacing w:after="120" w:line="240" w:lineRule="auto"/>
        <w:ind w:firstLine="720"/>
        <w:rPr>
          <w:rFonts w:ascii="Book Antiqua" w:eastAsia="MS ????" w:hAnsi="Book Antiqua" w:cs="Cambria"/>
          <w:b/>
          <w:bCs/>
          <w:color w:val="31849B"/>
          <w:sz w:val="28"/>
          <w:szCs w:val="32"/>
        </w:rPr>
      </w:pPr>
    </w:p>
    <w:p w:rsidR="0085085F" w:rsidRDefault="0085085F">
      <w:pPr>
        <w:rPr>
          <w:rFonts w:ascii="Book Antiqua" w:eastAsia="MS ??" w:hAnsi="Book Antiqua" w:cs="Calibri"/>
          <w:b/>
          <w:smallCaps/>
          <w:color w:val="5F497A"/>
          <w:spacing w:val="-2"/>
          <w:sz w:val="56"/>
          <w:szCs w:val="56"/>
        </w:rPr>
      </w:pPr>
    </w:p>
    <w:sectPr w:rsidR="0085085F" w:rsidSect="00E72147">
      <w:footerReference w:type="default" r:id="rId10"/>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E" w:rsidRDefault="00D030DE" w:rsidP="001F2ED3">
      <w:pPr>
        <w:spacing w:after="0" w:line="240" w:lineRule="auto"/>
      </w:pPr>
      <w:r>
        <w:separator/>
      </w:r>
    </w:p>
  </w:endnote>
  <w:endnote w:type="continuationSeparator" w:id="0">
    <w:p w:rsidR="00D030DE" w:rsidRDefault="00D030DE" w:rsidP="001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DE" w:rsidRDefault="00D030DE">
    <w:pPr>
      <w:pStyle w:val="Footer"/>
      <w:jc w:val="right"/>
    </w:pPr>
  </w:p>
  <w:p w:rsidR="00D030DE" w:rsidRDefault="00D0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40377"/>
      <w:docPartObj>
        <w:docPartGallery w:val="Page Numbers (Bottom of Page)"/>
        <w:docPartUnique/>
      </w:docPartObj>
    </w:sdtPr>
    <w:sdtEndPr>
      <w:rPr>
        <w:noProof/>
      </w:rPr>
    </w:sdtEndPr>
    <w:sdtContent>
      <w:p w:rsidR="00D030DE" w:rsidRDefault="00D030DE" w:rsidP="002E0432">
        <w:pPr>
          <w:pStyle w:val="Footer"/>
          <w:jc w:val="right"/>
        </w:pPr>
        <w:r>
          <w:fldChar w:fldCharType="begin"/>
        </w:r>
        <w:r>
          <w:instrText xml:space="preserve"> PAGE   \* MERGEFORMAT </w:instrText>
        </w:r>
        <w:r>
          <w:fldChar w:fldCharType="separate"/>
        </w:r>
        <w:r w:rsidR="00955BC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E" w:rsidRDefault="00D030DE" w:rsidP="001F2ED3">
      <w:pPr>
        <w:spacing w:after="0" w:line="240" w:lineRule="auto"/>
      </w:pPr>
      <w:r>
        <w:separator/>
      </w:r>
    </w:p>
  </w:footnote>
  <w:footnote w:type="continuationSeparator" w:id="0">
    <w:p w:rsidR="00D030DE" w:rsidRDefault="00D030DE" w:rsidP="001F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CAF"/>
    <w:multiLevelType w:val="hybridMultilevel"/>
    <w:tmpl w:val="4E244D54"/>
    <w:lvl w:ilvl="0" w:tplc="EE9A2BDA">
      <w:start w:val="1"/>
      <w:numFmt w:val="bullet"/>
      <w:pStyle w:val="Bullet1"/>
      <w:lvlText w:val=""/>
      <w:lvlJc w:val="left"/>
      <w:pPr>
        <w:ind w:left="342" w:hanging="360"/>
      </w:pPr>
      <w:rPr>
        <w:rFonts w:ascii="Wingdings 2" w:hAnsi="Wingdings 2"/>
        <w:b w:val="0"/>
        <w:i w:val="0"/>
        <w:caps w:val="0"/>
        <w:strike w:val="0"/>
        <w:dstrike w:val="0"/>
        <w:vanish w:val="0"/>
        <w:color w:val="31849B"/>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F5E4296">
      <w:start w:val="1"/>
      <w:numFmt w:val="bullet"/>
      <w:lvlText w:val="o"/>
      <w:lvlJc w:val="left"/>
      <w:pPr>
        <w:ind w:left="1440" w:hanging="360"/>
      </w:pPr>
      <w:rPr>
        <w:rFonts w:ascii="Courier New" w:hAnsi="Courier New"/>
      </w:rPr>
    </w:lvl>
    <w:lvl w:ilvl="2" w:tplc="D1706544">
      <w:start w:val="1"/>
      <w:numFmt w:val="bullet"/>
      <w:lvlText w:val=""/>
      <w:lvlJc w:val="left"/>
      <w:pPr>
        <w:ind w:left="2160" w:hanging="360"/>
      </w:pPr>
      <w:rPr>
        <w:rFonts w:ascii="Wingdings" w:hAnsi="Wingdings"/>
      </w:rPr>
    </w:lvl>
    <w:lvl w:ilvl="3" w:tplc="7646C070">
      <w:start w:val="1"/>
      <w:numFmt w:val="bullet"/>
      <w:lvlText w:val=""/>
      <w:lvlJc w:val="left"/>
      <w:pPr>
        <w:ind w:left="2880" w:hanging="360"/>
      </w:pPr>
      <w:rPr>
        <w:rFonts w:ascii="Symbol" w:hAnsi="Symbol"/>
      </w:rPr>
    </w:lvl>
    <w:lvl w:ilvl="4" w:tplc="3768E574">
      <w:start w:val="1"/>
      <w:numFmt w:val="bullet"/>
      <w:lvlText w:val="o"/>
      <w:lvlJc w:val="left"/>
      <w:pPr>
        <w:ind w:left="3600" w:hanging="360"/>
      </w:pPr>
      <w:rPr>
        <w:rFonts w:ascii="Courier New" w:hAnsi="Courier New"/>
      </w:rPr>
    </w:lvl>
    <w:lvl w:ilvl="5" w:tplc="520E59AA">
      <w:start w:val="1"/>
      <w:numFmt w:val="bullet"/>
      <w:lvlText w:val=""/>
      <w:lvlJc w:val="left"/>
      <w:pPr>
        <w:ind w:left="4320" w:hanging="360"/>
      </w:pPr>
      <w:rPr>
        <w:rFonts w:ascii="Wingdings" w:hAnsi="Wingdings"/>
      </w:rPr>
    </w:lvl>
    <w:lvl w:ilvl="6" w:tplc="40E856FA">
      <w:start w:val="1"/>
      <w:numFmt w:val="bullet"/>
      <w:lvlText w:val=""/>
      <w:lvlJc w:val="left"/>
      <w:pPr>
        <w:ind w:left="5040" w:hanging="360"/>
      </w:pPr>
      <w:rPr>
        <w:rFonts w:ascii="Symbol" w:hAnsi="Symbol"/>
      </w:rPr>
    </w:lvl>
    <w:lvl w:ilvl="7" w:tplc="055CED4E">
      <w:start w:val="1"/>
      <w:numFmt w:val="bullet"/>
      <w:lvlText w:val="o"/>
      <w:lvlJc w:val="left"/>
      <w:pPr>
        <w:ind w:left="5760" w:hanging="360"/>
      </w:pPr>
      <w:rPr>
        <w:rFonts w:ascii="Courier New" w:hAnsi="Courier New"/>
      </w:rPr>
    </w:lvl>
    <w:lvl w:ilvl="8" w:tplc="64DE1C92">
      <w:start w:val="1"/>
      <w:numFmt w:val="bullet"/>
      <w:lvlText w:val=""/>
      <w:lvlJc w:val="left"/>
      <w:pPr>
        <w:ind w:left="6480" w:hanging="360"/>
      </w:pPr>
      <w:rPr>
        <w:rFonts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3"/>
    <w:rsid w:val="000008F5"/>
    <w:rsid w:val="00000BF2"/>
    <w:rsid w:val="00003477"/>
    <w:rsid w:val="000106DE"/>
    <w:rsid w:val="00011511"/>
    <w:rsid w:val="00011F0F"/>
    <w:rsid w:val="00025201"/>
    <w:rsid w:val="00027FEC"/>
    <w:rsid w:val="000363B4"/>
    <w:rsid w:val="00051529"/>
    <w:rsid w:val="00067AB6"/>
    <w:rsid w:val="00070122"/>
    <w:rsid w:val="00073ED3"/>
    <w:rsid w:val="000757B1"/>
    <w:rsid w:val="00076598"/>
    <w:rsid w:val="00082C69"/>
    <w:rsid w:val="00093BCF"/>
    <w:rsid w:val="00094438"/>
    <w:rsid w:val="000A17D0"/>
    <w:rsid w:val="000A6F42"/>
    <w:rsid w:val="000B1616"/>
    <w:rsid w:val="000B18D9"/>
    <w:rsid w:val="000B36AB"/>
    <w:rsid w:val="000C2A46"/>
    <w:rsid w:val="000C715D"/>
    <w:rsid w:val="000D0B3D"/>
    <w:rsid w:val="000D324C"/>
    <w:rsid w:val="000D3F30"/>
    <w:rsid w:val="000D62F3"/>
    <w:rsid w:val="000D6A91"/>
    <w:rsid w:val="000D7855"/>
    <w:rsid w:val="000E21DB"/>
    <w:rsid w:val="000E43A7"/>
    <w:rsid w:val="000E4A37"/>
    <w:rsid w:val="000F2CF8"/>
    <w:rsid w:val="000F3EDC"/>
    <w:rsid w:val="00105F12"/>
    <w:rsid w:val="00114EEF"/>
    <w:rsid w:val="00115255"/>
    <w:rsid w:val="001234B7"/>
    <w:rsid w:val="001245EC"/>
    <w:rsid w:val="001252F2"/>
    <w:rsid w:val="0012590F"/>
    <w:rsid w:val="00127DE5"/>
    <w:rsid w:val="00135D3A"/>
    <w:rsid w:val="001467E1"/>
    <w:rsid w:val="00150870"/>
    <w:rsid w:val="00151F44"/>
    <w:rsid w:val="001523B5"/>
    <w:rsid w:val="00154811"/>
    <w:rsid w:val="00156B09"/>
    <w:rsid w:val="00167069"/>
    <w:rsid w:val="001746B2"/>
    <w:rsid w:val="0017704A"/>
    <w:rsid w:val="00181FAA"/>
    <w:rsid w:val="00186591"/>
    <w:rsid w:val="00195351"/>
    <w:rsid w:val="001960CC"/>
    <w:rsid w:val="001A3911"/>
    <w:rsid w:val="001B12AF"/>
    <w:rsid w:val="001B22B8"/>
    <w:rsid w:val="001C0277"/>
    <w:rsid w:val="001C45AA"/>
    <w:rsid w:val="001D3EB8"/>
    <w:rsid w:val="001D784B"/>
    <w:rsid w:val="001E1D6E"/>
    <w:rsid w:val="001E259D"/>
    <w:rsid w:val="001E368C"/>
    <w:rsid w:val="001F1710"/>
    <w:rsid w:val="001F2ED3"/>
    <w:rsid w:val="001F3775"/>
    <w:rsid w:val="001F4E2E"/>
    <w:rsid w:val="00202F89"/>
    <w:rsid w:val="00206170"/>
    <w:rsid w:val="00210960"/>
    <w:rsid w:val="002128F5"/>
    <w:rsid w:val="00215E38"/>
    <w:rsid w:val="00216E29"/>
    <w:rsid w:val="00220E5C"/>
    <w:rsid w:val="002237C9"/>
    <w:rsid w:val="002342FF"/>
    <w:rsid w:val="002366C6"/>
    <w:rsid w:val="0024055A"/>
    <w:rsid w:val="0024071E"/>
    <w:rsid w:val="00241E7E"/>
    <w:rsid w:val="002440B5"/>
    <w:rsid w:val="002529C3"/>
    <w:rsid w:val="00260F6C"/>
    <w:rsid w:val="00273733"/>
    <w:rsid w:val="00277B84"/>
    <w:rsid w:val="002822FE"/>
    <w:rsid w:val="0028641F"/>
    <w:rsid w:val="00286F10"/>
    <w:rsid w:val="002A4F2E"/>
    <w:rsid w:val="002A7E07"/>
    <w:rsid w:val="002D5570"/>
    <w:rsid w:val="002D61D2"/>
    <w:rsid w:val="002D6A7C"/>
    <w:rsid w:val="002E0432"/>
    <w:rsid w:val="002E0CAE"/>
    <w:rsid w:val="002F21E0"/>
    <w:rsid w:val="002F5E43"/>
    <w:rsid w:val="002F6B88"/>
    <w:rsid w:val="002F7077"/>
    <w:rsid w:val="00300B2A"/>
    <w:rsid w:val="00307652"/>
    <w:rsid w:val="00312EEB"/>
    <w:rsid w:val="0032173C"/>
    <w:rsid w:val="00324CC3"/>
    <w:rsid w:val="003266F1"/>
    <w:rsid w:val="00330B9E"/>
    <w:rsid w:val="00332DE8"/>
    <w:rsid w:val="00342ACE"/>
    <w:rsid w:val="003431AE"/>
    <w:rsid w:val="00351432"/>
    <w:rsid w:val="00352899"/>
    <w:rsid w:val="00360CBB"/>
    <w:rsid w:val="00361452"/>
    <w:rsid w:val="0037194A"/>
    <w:rsid w:val="00396F5E"/>
    <w:rsid w:val="003A1BD9"/>
    <w:rsid w:val="003A2EE9"/>
    <w:rsid w:val="003A67C8"/>
    <w:rsid w:val="003B3CC1"/>
    <w:rsid w:val="003C3259"/>
    <w:rsid w:val="003C61A2"/>
    <w:rsid w:val="003D33FE"/>
    <w:rsid w:val="003D43B2"/>
    <w:rsid w:val="003E1625"/>
    <w:rsid w:val="003E286D"/>
    <w:rsid w:val="003E39C4"/>
    <w:rsid w:val="0040090B"/>
    <w:rsid w:val="00402AB7"/>
    <w:rsid w:val="00406C27"/>
    <w:rsid w:val="004108ED"/>
    <w:rsid w:val="004121E6"/>
    <w:rsid w:val="004220E9"/>
    <w:rsid w:val="00427513"/>
    <w:rsid w:val="0044262A"/>
    <w:rsid w:val="0045147B"/>
    <w:rsid w:val="004520DD"/>
    <w:rsid w:val="00455407"/>
    <w:rsid w:val="00462A92"/>
    <w:rsid w:val="00462D05"/>
    <w:rsid w:val="00474402"/>
    <w:rsid w:val="00475E0B"/>
    <w:rsid w:val="0047743B"/>
    <w:rsid w:val="00481876"/>
    <w:rsid w:val="00497230"/>
    <w:rsid w:val="0049785F"/>
    <w:rsid w:val="004A2F01"/>
    <w:rsid w:val="004A4984"/>
    <w:rsid w:val="004C0652"/>
    <w:rsid w:val="004D1222"/>
    <w:rsid w:val="004D5002"/>
    <w:rsid w:val="004D500A"/>
    <w:rsid w:val="004D7FF3"/>
    <w:rsid w:val="004E4FC2"/>
    <w:rsid w:val="004E5074"/>
    <w:rsid w:val="00502DD8"/>
    <w:rsid w:val="0050450F"/>
    <w:rsid w:val="00504E5A"/>
    <w:rsid w:val="00506CF2"/>
    <w:rsid w:val="005204EB"/>
    <w:rsid w:val="00527F1D"/>
    <w:rsid w:val="00534AC2"/>
    <w:rsid w:val="00537EDA"/>
    <w:rsid w:val="00540548"/>
    <w:rsid w:val="005425DF"/>
    <w:rsid w:val="00553C18"/>
    <w:rsid w:val="005574A8"/>
    <w:rsid w:val="00567893"/>
    <w:rsid w:val="005766F0"/>
    <w:rsid w:val="005907D8"/>
    <w:rsid w:val="00590F87"/>
    <w:rsid w:val="00593539"/>
    <w:rsid w:val="0059483C"/>
    <w:rsid w:val="005A0971"/>
    <w:rsid w:val="005A2320"/>
    <w:rsid w:val="005A2886"/>
    <w:rsid w:val="005A4ABD"/>
    <w:rsid w:val="005B6EA1"/>
    <w:rsid w:val="005B7EBD"/>
    <w:rsid w:val="005C0DDC"/>
    <w:rsid w:val="005C2A73"/>
    <w:rsid w:val="005C479A"/>
    <w:rsid w:val="005C576D"/>
    <w:rsid w:val="005D229C"/>
    <w:rsid w:val="005D6AF6"/>
    <w:rsid w:val="005E6BD9"/>
    <w:rsid w:val="00604E51"/>
    <w:rsid w:val="00606AB5"/>
    <w:rsid w:val="00606DD1"/>
    <w:rsid w:val="00624252"/>
    <w:rsid w:val="006271C9"/>
    <w:rsid w:val="006279F9"/>
    <w:rsid w:val="0063007C"/>
    <w:rsid w:val="0063313C"/>
    <w:rsid w:val="006348DA"/>
    <w:rsid w:val="00634937"/>
    <w:rsid w:val="00635B41"/>
    <w:rsid w:val="0064120B"/>
    <w:rsid w:val="0064557E"/>
    <w:rsid w:val="00655415"/>
    <w:rsid w:val="006557F0"/>
    <w:rsid w:val="00655815"/>
    <w:rsid w:val="00657EF8"/>
    <w:rsid w:val="00665426"/>
    <w:rsid w:val="006679EA"/>
    <w:rsid w:val="00671219"/>
    <w:rsid w:val="00682C8A"/>
    <w:rsid w:val="00685F3D"/>
    <w:rsid w:val="00696162"/>
    <w:rsid w:val="006A1F9D"/>
    <w:rsid w:val="006C1620"/>
    <w:rsid w:val="006C4598"/>
    <w:rsid w:val="006C65D8"/>
    <w:rsid w:val="006C769B"/>
    <w:rsid w:val="006D1CD0"/>
    <w:rsid w:val="006D28C1"/>
    <w:rsid w:val="006E1EFE"/>
    <w:rsid w:val="006E5A30"/>
    <w:rsid w:val="006F1B05"/>
    <w:rsid w:val="006F5851"/>
    <w:rsid w:val="006F5FD4"/>
    <w:rsid w:val="006F733E"/>
    <w:rsid w:val="00704043"/>
    <w:rsid w:val="0070458C"/>
    <w:rsid w:val="0070640D"/>
    <w:rsid w:val="00714B2D"/>
    <w:rsid w:val="00714F51"/>
    <w:rsid w:val="00721184"/>
    <w:rsid w:val="00726B1A"/>
    <w:rsid w:val="00727E1C"/>
    <w:rsid w:val="00727FD1"/>
    <w:rsid w:val="007305B9"/>
    <w:rsid w:val="007326DD"/>
    <w:rsid w:val="007362B2"/>
    <w:rsid w:val="00736811"/>
    <w:rsid w:val="00747E4E"/>
    <w:rsid w:val="007504E0"/>
    <w:rsid w:val="00756AFB"/>
    <w:rsid w:val="00756D29"/>
    <w:rsid w:val="00757E63"/>
    <w:rsid w:val="00764CB8"/>
    <w:rsid w:val="00774385"/>
    <w:rsid w:val="007747F7"/>
    <w:rsid w:val="00786CA0"/>
    <w:rsid w:val="00787E72"/>
    <w:rsid w:val="00794BF8"/>
    <w:rsid w:val="007A6E63"/>
    <w:rsid w:val="007C4203"/>
    <w:rsid w:val="007C59BB"/>
    <w:rsid w:val="007D1D5C"/>
    <w:rsid w:val="007D51CB"/>
    <w:rsid w:val="007F4FF3"/>
    <w:rsid w:val="007F5450"/>
    <w:rsid w:val="007F617B"/>
    <w:rsid w:val="007F6EAC"/>
    <w:rsid w:val="00802154"/>
    <w:rsid w:val="00802737"/>
    <w:rsid w:val="00804B85"/>
    <w:rsid w:val="00806428"/>
    <w:rsid w:val="00816A9B"/>
    <w:rsid w:val="00816C93"/>
    <w:rsid w:val="0082362A"/>
    <w:rsid w:val="008266E0"/>
    <w:rsid w:val="008365DF"/>
    <w:rsid w:val="00836F59"/>
    <w:rsid w:val="008419F1"/>
    <w:rsid w:val="008421BC"/>
    <w:rsid w:val="0084461B"/>
    <w:rsid w:val="0085085F"/>
    <w:rsid w:val="00855C1A"/>
    <w:rsid w:val="0086066B"/>
    <w:rsid w:val="008711BA"/>
    <w:rsid w:val="00874E3E"/>
    <w:rsid w:val="00875259"/>
    <w:rsid w:val="00881B95"/>
    <w:rsid w:val="0088521F"/>
    <w:rsid w:val="0088782D"/>
    <w:rsid w:val="00891A2E"/>
    <w:rsid w:val="00891D92"/>
    <w:rsid w:val="008975C9"/>
    <w:rsid w:val="00897D55"/>
    <w:rsid w:val="008A1C36"/>
    <w:rsid w:val="008A71CF"/>
    <w:rsid w:val="008C076D"/>
    <w:rsid w:val="008C2EEA"/>
    <w:rsid w:val="008C6D26"/>
    <w:rsid w:val="008C7548"/>
    <w:rsid w:val="008D66EE"/>
    <w:rsid w:val="008E14ED"/>
    <w:rsid w:val="008F27D3"/>
    <w:rsid w:val="008F47B8"/>
    <w:rsid w:val="008F7769"/>
    <w:rsid w:val="009006AC"/>
    <w:rsid w:val="00910626"/>
    <w:rsid w:val="00910C4F"/>
    <w:rsid w:val="009130BA"/>
    <w:rsid w:val="009156BA"/>
    <w:rsid w:val="0091605C"/>
    <w:rsid w:val="00916E78"/>
    <w:rsid w:val="00917350"/>
    <w:rsid w:val="00921131"/>
    <w:rsid w:val="00921BC7"/>
    <w:rsid w:val="00931D85"/>
    <w:rsid w:val="009330E9"/>
    <w:rsid w:val="00934A05"/>
    <w:rsid w:val="009451D9"/>
    <w:rsid w:val="00955A14"/>
    <w:rsid w:val="00955BCD"/>
    <w:rsid w:val="00964518"/>
    <w:rsid w:val="00967623"/>
    <w:rsid w:val="00972C12"/>
    <w:rsid w:val="00975CFC"/>
    <w:rsid w:val="00985B84"/>
    <w:rsid w:val="00994CB6"/>
    <w:rsid w:val="00996998"/>
    <w:rsid w:val="00997D81"/>
    <w:rsid w:val="009A3116"/>
    <w:rsid w:val="009A4E58"/>
    <w:rsid w:val="009A4E92"/>
    <w:rsid w:val="009C56FB"/>
    <w:rsid w:val="009E105A"/>
    <w:rsid w:val="009E2027"/>
    <w:rsid w:val="009E23D1"/>
    <w:rsid w:val="009F71F6"/>
    <w:rsid w:val="00A076F3"/>
    <w:rsid w:val="00A079E5"/>
    <w:rsid w:val="00A07D1C"/>
    <w:rsid w:val="00A133E6"/>
    <w:rsid w:val="00A13A52"/>
    <w:rsid w:val="00A16177"/>
    <w:rsid w:val="00A16D0E"/>
    <w:rsid w:val="00A20554"/>
    <w:rsid w:val="00A3040A"/>
    <w:rsid w:val="00A317E3"/>
    <w:rsid w:val="00A3354B"/>
    <w:rsid w:val="00A34DAC"/>
    <w:rsid w:val="00A34E63"/>
    <w:rsid w:val="00A36222"/>
    <w:rsid w:val="00A37114"/>
    <w:rsid w:val="00A41BBC"/>
    <w:rsid w:val="00A42D81"/>
    <w:rsid w:val="00A45F95"/>
    <w:rsid w:val="00A549A5"/>
    <w:rsid w:val="00A60922"/>
    <w:rsid w:val="00A648B7"/>
    <w:rsid w:val="00A655EB"/>
    <w:rsid w:val="00A655F7"/>
    <w:rsid w:val="00A66712"/>
    <w:rsid w:val="00A66CB8"/>
    <w:rsid w:val="00A7177A"/>
    <w:rsid w:val="00A71B91"/>
    <w:rsid w:val="00A71D70"/>
    <w:rsid w:val="00A72812"/>
    <w:rsid w:val="00A814B0"/>
    <w:rsid w:val="00A828B2"/>
    <w:rsid w:val="00A9366C"/>
    <w:rsid w:val="00AA543C"/>
    <w:rsid w:val="00AA550D"/>
    <w:rsid w:val="00AB5D20"/>
    <w:rsid w:val="00AB6756"/>
    <w:rsid w:val="00AC6120"/>
    <w:rsid w:val="00AC7341"/>
    <w:rsid w:val="00AD71FB"/>
    <w:rsid w:val="00AF2FF3"/>
    <w:rsid w:val="00B0417D"/>
    <w:rsid w:val="00B12771"/>
    <w:rsid w:val="00B14646"/>
    <w:rsid w:val="00B22507"/>
    <w:rsid w:val="00B244FA"/>
    <w:rsid w:val="00B24FF4"/>
    <w:rsid w:val="00B25545"/>
    <w:rsid w:val="00B262E3"/>
    <w:rsid w:val="00B26BC4"/>
    <w:rsid w:val="00B335B4"/>
    <w:rsid w:val="00B34812"/>
    <w:rsid w:val="00B37170"/>
    <w:rsid w:val="00B40D25"/>
    <w:rsid w:val="00B43FD2"/>
    <w:rsid w:val="00B507D4"/>
    <w:rsid w:val="00B51880"/>
    <w:rsid w:val="00B51ECB"/>
    <w:rsid w:val="00B545CB"/>
    <w:rsid w:val="00B56781"/>
    <w:rsid w:val="00B62660"/>
    <w:rsid w:val="00B67717"/>
    <w:rsid w:val="00B72171"/>
    <w:rsid w:val="00B7383A"/>
    <w:rsid w:val="00B7493D"/>
    <w:rsid w:val="00B75C73"/>
    <w:rsid w:val="00B76397"/>
    <w:rsid w:val="00B76AC4"/>
    <w:rsid w:val="00B8580F"/>
    <w:rsid w:val="00B903C5"/>
    <w:rsid w:val="00B90C08"/>
    <w:rsid w:val="00B92193"/>
    <w:rsid w:val="00B93D48"/>
    <w:rsid w:val="00B946FB"/>
    <w:rsid w:val="00B974E0"/>
    <w:rsid w:val="00BA70B0"/>
    <w:rsid w:val="00BB32ED"/>
    <w:rsid w:val="00BB5960"/>
    <w:rsid w:val="00BB6416"/>
    <w:rsid w:val="00BC1C4E"/>
    <w:rsid w:val="00BC1D13"/>
    <w:rsid w:val="00BC2F77"/>
    <w:rsid w:val="00BC46C6"/>
    <w:rsid w:val="00BC6A9F"/>
    <w:rsid w:val="00BC7275"/>
    <w:rsid w:val="00BD0EEF"/>
    <w:rsid w:val="00BD419F"/>
    <w:rsid w:val="00BE03EC"/>
    <w:rsid w:val="00BE3DDF"/>
    <w:rsid w:val="00BF0A1A"/>
    <w:rsid w:val="00BF1A09"/>
    <w:rsid w:val="00BF1B89"/>
    <w:rsid w:val="00BF4D94"/>
    <w:rsid w:val="00BF51D6"/>
    <w:rsid w:val="00BF5B8D"/>
    <w:rsid w:val="00BF759B"/>
    <w:rsid w:val="00C058DB"/>
    <w:rsid w:val="00C0740D"/>
    <w:rsid w:val="00C10E31"/>
    <w:rsid w:val="00C11F1B"/>
    <w:rsid w:val="00C16FAD"/>
    <w:rsid w:val="00C22C07"/>
    <w:rsid w:val="00C277A5"/>
    <w:rsid w:val="00C34D90"/>
    <w:rsid w:val="00C404FF"/>
    <w:rsid w:val="00C419E2"/>
    <w:rsid w:val="00C47693"/>
    <w:rsid w:val="00C50355"/>
    <w:rsid w:val="00C5584B"/>
    <w:rsid w:val="00C57C78"/>
    <w:rsid w:val="00C63664"/>
    <w:rsid w:val="00C66E9A"/>
    <w:rsid w:val="00CB2934"/>
    <w:rsid w:val="00CB7890"/>
    <w:rsid w:val="00CC5C64"/>
    <w:rsid w:val="00CF14B4"/>
    <w:rsid w:val="00CF40BB"/>
    <w:rsid w:val="00D00C70"/>
    <w:rsid w:val="00D029A3"/>
    <w:rsid w:val="00D030DE"/>
    <w:rsid w:val="00D04A0B"/>
    <w:rsid w:val="00D10FBC"/>
    <w:rsid w:val="00D12DBD"/>
    <w:rsid w:val="00D2529D"/>
    <w:rsid w:val="00D276B1"/>
    <w:rsid w:val="00D42C48"/>
    <w:rsid w:val="00D43D09"/>
    <w:rsid w:val="00D506DF"/>
    <w:rsid w:val="00D53F33"/>
    <w:rsid w:val="00D54497"/>
    <w:rsid w:val="00D55271"/>
    <w:rsid w:val="00D573C5"/>
    <w:rsid w:val="00D57C95"/>
    <w:rsid w:val="00D65EDA"/>
    <w:rsid w:val="00D7512B"/>
    <w:rsid w:val="00D75D23"/>
    <w:rsid w:val="00D76E1E"/>
    <w:rsid w:val="00D777D2"/>
    <w:rsid w:val="00D77B33"/>
    <w:rsid w:val="00D81696"/>
    <w:rsid w:val="00D84604"/>
    <w:rsid w:val="00D86806"/>
    <w:rsid w:val="00D86AB2"/>
    <w:rsid w:val="00D909E1"/>
    <w:rsid w:val="00D95198"/>
    <w:rsid w:val="00D95E00"/>
    <w:rsid w:val="00D96170"/>
    <w:rsid w:val="00D977B2"/>
    <w:rsid w:val="00DA4CBB"/>
    <w:rsid w:val="00DC098A"/>
    <w:rsid w:val="00DC1F48"/>
    <w:rsid w:val="00DC3D46"/>
    <w:rsid w:val="00DC4C57"/>
    <w:rsid w:val="00DD2898"/>
    <w:rsid w:val="00DE1C1F"/>
    <w:rsid w:val="00DE1E17"/>
    <w:rsid w:val="00DE2A7F"/>
    <w:rsid w:val="00DE4DB4"/>
    <w:rsid w:val="00DF283D"/>
    <w:rsid w:val="00E13ED3"/>
    <w:rsid w:val="00E218E7"/>
    <w:rsid w:val="00E248F9"/>
    <w:rsid w:val="00E2761A"/>
    <w:rsid w:val="00E331D8"/>
    <w:rsid w:val="00E357BE"/>
    <w:rsid w:val="00E36313"/>
    <w:rsid w:val="00E36699"/>
    <w:rsid w:val="00E36D1D"/>
    <w:rsid w:val="00E46F58"/>
    <w:rsid w:val="00E5172E"/>
    <w:rsid w:val="00E51ADF"/>
    <w:rsid w:val="00E538D2"/>
    <w:rsid w:val="00E53AEE"/>
    <w:rsid w:val="00E5420A"/>
    <w:rsid w:val="00E5584A"/>
    <w:rsid w:val="00E57C29"/>
    <w:rsid w:val="00E62041"/>
    <w:rsid w:val="00E707D8"/>
    <w:rsid w:val="00E72147"/>
    <w:rsid w:val="00E72668"/>
    <w:rsid w:val="00E7269E"/>
    <w:rsid w:val="00E72E57"/>
    <w:rsid w:val="00E757CB"/>
    <w:rsid w:val="00E7653C"/>
    <w:rsid w:val="00E77640"/>
    <w:rsid w:val="00E825AA"/>
    <w:rsid w:val="00E876A9"/>
    <w:rsid w:val="00EA45E0"/>
    <w:rsid w:val="00EA6569"/>
    <w:rsid w:val="00EB5C62"/>
    <w:rsid w:val="00EB73B6"/>
    <w:rsid w:val="00EC073F"/>
    <w:rsid w:val="00EC3C63"/>
    <w:rsid w:val="00EC4D2D"/>
    <w:rsid w:val="00EC6945"/>
    <w:rsid w:val="00EC6A2C"/>
    <w:rsid w:val="00EC779C"/>
    <w:rsid w:val="00ED0F8D"/>
    <w:rsid w:val="00EE5343"/>
    <w:rsid w:val="00EF0A2F"/>
    <w:rsid w:val="00EF5127"/>
    <w:rsid w:val="00EF67F8"/>
    <w:rsid w:val="00F027B2"/>
    <w:rsid w:val="00F16D77"/>
    <w:rsid w:val="00F21B8B"/>
    <w:rsid w:val="00F22669"/>
    <w:rsid w:val="00F24B67"/>
    <w:rsid w:val="00F266BD"/>
    <w:rsid w:val="00F26C5A"/>
    <w:rsid w:val="00F32601"/>
    <w:rsid w:val="00F3276E"/>
    <w:rsid w:val="00F32A05"/>
    <w:rsid w:val="00F3375E"/>
    <w:rsid w:val="00F366CE"/>
    <w:rsid w:val="00F37020"/>
    <w:rsid w:val="00F43638"/>
    <w:rsid w:val="00F46D53"/>
    <w:rsid w:val="00F50CFA"/>
    <w:rsid w:val="00F5342E"/>
    <w:rsid w:val="00F57056"/>
    <w:rsid w:val="00F63881"/>
    <w:rsid w:val="00F761F3"/>
    <w:rsid w:val="00F83D1B"/>
    <w:rsid w:val="00F84146"/>
    <w:rsid w:val="00F84CE0"/>
    <w:rsid w:val="00FA0CE6"/>
    <w:rsid w:val="00FA7240"/>
    <w:rsid w:val="00FB1974"/>
    <w:rsid w:val="00FB520B"/>
    <w:rsid w:val="00FB5875"/>
    <w:rsid w:val="00FC67A5"/>
    <w:rsid w:val="00FD4EC4"/>
    <w:rsid w:val="00FE310B"/>
    <w:rsid w:val="00FE67FB"/>
    <w:rsid w:val="00FF08D4"/>
    <w:rsid w:val="00FF4C7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217">
      <w:bodyDiv w:val="1"/>
      <w:marLeft w:val="0"/>
      <w:marRight w:val="0"/>
      <w:marTop w:val="0"/>
      <w:marBottom w:val="0"/>
      <w:divBdr>
        <w:top w:val="none" w:sz="0" w:space="0" w:color="auto"/>
        <w:left w:val="none" w:sz="0" w:space="0" w:color="auto"/>
        <w:bottom w:val="none" w:sz="0" w:space="0" w:color="auto"/>
        <w:right w:val="none" w:sz="0" w:space="0" w:color="auto"/>
      </w:divBdr>
      <w:divsChild>
        <w:div w:id="1651985421">
          <w:marLeft w:val="0"/>
          <w:marRight w:val="0"/>
          <w:marTop w:val="0"/>
          <w:marBottom w:val="0"/>
          <w:divBdr>
            <w:top w:val="none" w:sz="0" w:space="0" w:color="auto"/>
            <w:left w:val="none" w:sz="0" w:space="0" w:color="auto"/>
            <w:bottom w:val="none" w:sz="0" w:space="0" w:color="auto"/>
            <w:right w:val="none" w:sz="0" w:space="0" w:color="auto"/>
          </w:divBdr>
          <w:divsChild>
            <w:div w:id="731003467">
              <w:marLeft w:val="0"/>
              <w:marRight w:val="0"/>
              <w:marTop w:val="0"/>
              <w:marBottom w:val="0"/>
              <w:divBdr>
                <w:top w:val="none" w:sz="0" w:space="0" w:color="auto"/>
                <w:left w:val="none" w:sz="0" w:space="0" w:color="auto"/>
                <w:bottom w:val="none" w:sz="0" w:space="0" w:color="auto"/>
                <w:right w:val="none" w:sz="0" w:space="0" w:color="auto"/>
              </w:divBdr>
              <w:divsChild>
                <w:div w:id="1673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2301">
      <w:bodyDiv w:val="1"/>
      <w:marLeft w:val="0"/>
      <w:marRight w:val="0"/>
      <w:marTop w:val="0"/>
      <w:marBottom w:val="0"/>
      <w:divBdr>
        <w:top w:val="none" w:sz="0" w:space="0" w:color="auto"/>
        <w:left w:val="none" w:sz="0" w:space="0" w:color="auto"/>
        <w:bottom w:val="none" w:sz="0" w:space="0" w:color="auto"/>
        <w:right w:val="none" w:sz="0" w:space="0" w:color="auto"/>
      </w:divBdr>
      <w:divsChild>
        <w:div w:id="885994951">
          <w:marLeft w:val="0"/>
          <w:marRight w:val="0"/>
          <w:marTop w:val="0"/>
          <w:marBottom w:val="0"/>
          <w:divBdr>
            <w:top w:val="none" w:sz="0" w:space="0" w:color="auto"/>
            <w:left w:val="none" w:sz="0" w:space="0" w:color="auto"/>
            <w:bottom w:val="none" w:sz="0" w:space="0" w:color="auto"/>
            <w:right w:val="none" w:sz="0" w:space="0" w:color="auto"/>
          </w:divBdr>
          <w:divsChild>
            <w:div w:id="1432311475">
              <w:marLeft w:val="0"/>
              <w:marRight w:val="0"/>
              <w:marTop w:val="0"/>
              <w:marBottom w:val="0"/>
              <w:divBdr>
                <w:top w:val="none" w:sz="0" w:space="0" w:color="auto"/>
                <w:left w:val="none" w:sz="0" w:space="0" w:color="auto"/>
                <w:bottom w:val="none" w:sz="0" w:space="0" w:color="auto"/>
                <w:right w:val="none" w:sz="0" w:space="0" w:color="auto"/>
              </w:divBdr>
              <w:divsChild>
                <w:div w:id="687488180">
                  <w:marLeft w:val="0"/>
                  <w:marRight w:val="0"/>
                  <w:marTop w:val="0"/>
                  <w:marBottom w:val="0"/>
                  <w:divBdr>
                    <w:top w:val="none" w:sz="0" w:space="0" w:color="auto"/>
                    <w:left w:val="none" w:sz="0" w:space="0" w:color="auto"/>
                    <w:bottom w:val="none" w:sz="0" w:space="0" w:color="auto"/>
                    <w:right w:val="none" w:sz="0" w:space="0" w:color="auto"/>
                  </w:divBdr>
                  <w:divsChild>
                    <w:div w:id="18697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0350">
      <w:bodyDiv w:val="1"/>
      <w:marLeft w:val="0"/>
      <w:marRight w:val="0"/>
      <w:marTop w:val="0"/>
      <w:marBottom w:val="0"/>
      <w:divBdr>
        <w:top w:val="none" w:sz="0" w:space="0" w:color="auto"/>
        <w:left w:val="none" w:sz="0" w:space="0" w:color="auto"/>
        <w:bottom w:val="none" w:sz="0" w:space="0" w:color="auto"/>
        <w:right w:val="none" w:sz="0" w:space="0" w:color="auto"/>
      </w:divBdr>
      <w:divsChild>
        <w:div w:id="2014145028">
          <w:marLeft w:val="0"/>
          <w:marRight w:val="0"/>
          <w:marTop w:val="0"/>
          <w:marBottom w:val="0"/>
          <w:divBdr>
            <w:top w:val="none" w:sz="0" w:space="0" w:color="auto"/>
            <w:left w:val="none" w:sz="0" w:space="0" w:color="auto"/>
            <w:bottom w:val="none" w:sz="0" w:space="0" w:color="auto"/>
            <w:right w:val="none" w:sz="0" w:space="0" w:color="auto"/>
          </w:divBdr>
          <w:divsChild>
            <w:div w:id="1471363433">
              <w:marLeft w:val="0"/>
              <w:marRight w:val="0"/>
              <w:marTop w:val="0"/>
              <w:marBottom w:val="0"/>
              <w:divBdr>
                <w:top w:val="none" w:sz="0" w:space="0" w:color="auto"/>
                <w:left w:val="none" w:sz="0" w:space="0" w:color="auto"/>
                <w:bottom w:val="none" w:sz="0" w:space="0" w:color="auto"/>
                <w:right w:val="none" w:sz="0" w:space="0" w:color="auto"/>
              </w:divBdr>
              <w:divsChild>
                <w:div w:id="1607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53">
      <w:bodyDiv w:val="1"/>
      <w:marLeft w:val="0"/>
      <w:marRight w:val="0"/>
      <w:marTop w:val="0"/>
      <w:marBottom w:val="0"/>
      <w:divBdr>
        <w:top w:val="none" w:sz="0" w:space="0" w:color="auto"/>
        <w:left w:val="none" w:sz="0" w:space="0" w:color="auto"/>
        <w:bottom w:val="none" w:sz="0" w:space="0" w:color="auto"/>
        <w:right w:val="none" w:sz="0" w:space="0" w:color="auto"/>
      </w:divBdr>
      <w:divsChild>
        <w:div w:id="946155813">
          <w:marLeft w:val="0"/>
          <w:marRight w:val="0"/>
          <w:marTop w:val="0"/>
          <w:marBottom w:val="0"/>
          <w:divBdr>
            <w:top w:val="none" w:sz="0" w:space="0" w:color="auto"/>
            <w:left w:val="none" w:sz="0" w:space="0" w:color="auto"/>
            <w:bottom w:val="none" w:sz="0" w:space="0" w:color="auto"/>
            <w:right w:val="none" w:sz="0" w:space="0" w:color="auto"/>
          </w:divBdr>
          <w:divsChild>
            <w:div w:id="582879070">
              <w:marLeft w:val="0"/>
              <w:marRight w:val="0"/>
              <w:marTop w:val="0"/>
              <w:marBottom w:val="0"/>
              <w:divBdr>
                <w:top w:val="none" w:sz="0" w:space="0" w:color="auto"/>
                <w:left w:val="none" w:sz="0" w:space="0" w:color="auto"/>
                <w:bottom w:val="none" w:sz="0" w:space="0" w:color="auto"/>
                <w:right w:val="none" w:sz="0" w:space="0" w:color="auto"/>
              </w:divBdr>
              <w:divsChild>
                <w:div w:id="221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A102-0970-47D7-AE78-C7B6B1A0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Care_for_Geriatric_Consumers_and_Service_Capacity:A_Self-Assessment_Tool</vt:lpstr>
    </vt:vector>
  </TitlesOfParts>
  <Company>The Lewin Group</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Care_for_Geriatric_Consumers_and_Service_Capacity:A_Self-Assessment_Tool</dc:title>
  <dc:subject>Geriatric Competent Care</dc:subject>
  <dc:creator>The Lewin Group</dc:creator>
  <cp:keywords>Geriatric Self-Assessment Tool</cp:keywords>
  <cp:lastModifiedBy>Jessie Micholuk</cp:lastModifiedBy>
  <cp:revision>3</cp:revision>
  <cp:lastPrinted>2016-03-14T17:38:00Z</cp:lastPrinted>
  <dcterms:created xsi:type="dcterms:W3CDTF">2016-04-07T14:38:00Z</dcterms:created>
  <dcterms:modified xsi:type="dcterms:W3CDTF">2016-05-09T19:30:00Z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